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20"/>
        <w:gridCol w:w="1568"/>
        <w:gridCol w:w="556"/>
        <w:gridCol w:w="2144"/>
      </w:tblGrid>
      <w:tr w:rsidR="007C16F9" w:rsidRPr="007C16F9" w14:paraId="6B0854C8" w14:textId="77777777" w:rsidTr="00D15E53">
        <w:tc>
          <w:tcPr>
            <w:tcW w:w="520" w:type="dxa"/>
          </w:tcPr>
          <w:p w14:paraId="347CE8F9" w14:textId="77777777" w:rsidR="00D52AC2" w:rsidRPr="007C16F9" w:rsidRDefault="00D52AC2" w:rsidP="00B164F3">
            <w:pPr>
              <w:tabs>
                <w:tab w:val="left" w:pos="36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lk126322908"/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</w:tcPr>
          <w:p w14:paraId="37026B7A" w14:textId="77777777" w:rsidR="00D52AC2" w:rsidRPr="007C16F9" w:rsidRDefault="00D52AC2" w:rsidP="00B164F3">
            <w:pPr>
              <w:tabs>
                <w:tab w:val="left" w:pos="36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F9">
              <w:rPr>
                <w:rFonts w:ascii="Times New Roman" w:eastAsia="Times New Roman" w:hAnsi="Times New Roman" w:cs="Times New Roman"/>
                <w:sz w:val="26"/>
                <w:szCs w:val="26"/>
              </w:rPr>
              <w:t>Projekts</w:t>
            </w:r>
          </w:p>
        </w:tc>
        <w:tc>
          <w:tcPr>
            <w:tcW w:w="556" w:type="dxa"/>
          </w:tcPr>
          <w:p w14:paraId="72E20B0C" w14:textId="77777777" w:rsidR="00D52AC2" w:rsidRPr="007C16F9" w:rsidRDefault="00D52AC2" w:rsidP="00B164F3">
            <w:pPr>
              <w:tabs>
                <w:tab w:val="left" w:pos="36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</w:tcPr>
          <w:p w14:paraId="64CEC27E" w14:textId="77777777" w:rsidR="00D52AC2" w:rsidRPr="007C16F9" w:rsidRDefault="00D52AC2" w:rsidP="00B164F3">
            <w:pPr>
              <w:tabs>
                <w:tab w:val="left" w:pos="36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2AC2" w:rsidRPr="007C16F9" w14:paraId="75D03CD6" w14:textId="77777777" w:rsidTr="00D15E53">
        <w:tc>
          <w:tcPr>
            <w:tcW w:w="520" w:type="dxa"/>
          </w:tcPr>
          <w:p w14:paraId="39A963E8" w14:textId="77777777" w:rsidR="00D52AC2" w:rsidRPr="007C16F9" w:rsidRDefault="00D52AC2" w:rsidP="00B164F3">
            <w:pPr>
              <w:tabs>
                <w:tab w:val="left" w:pos="36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8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326AA0CF" w14:textId="77777777" w:rsidR="00D52AC2" w:rsidRPr="007C16F9" w:rsidRDefault="00D52AC2" w:rsidP="00B164F3">
            <w:pPr>
              <w:tabs>
                <w:tab w:val="left" w:pos="36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F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C16F9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DOCPROPERTY  #DOC_DAT#  \* MERGEFORMAT </w:instrText>
            </w:r>
            <w:r w:rsidRPr="007C16F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556" w:type="dxa"/>
            <w:hideMark/>
          </w:tcPr>
          <w:p w14:paraId="3FA803C2" w14:textId="77777777" w:rsidR="00D52AC2" w:rsidRPr="007C16F9" w:rsidRDefault="00D52AC2" w:rsidP="00B164F3">
            <w:pPr>
              <w:tabs>
                <w:tab w:val="left" w:pos="36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F9">
              <w:rPr>
                <w:rFonts w:ascii="Times New Roman" w:eastAsia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2144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2BA50C29" w14:textId="77777777" w:rsidR="00D52AC2" w:rsidRPr="007C16F9" w:rsidRDefault="00D52AC2" w:rsidP="00B164F3">
            <w:pPr>
              <w:tabs>
                <w:tab w:val="left" w:pos="360"/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F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begin"/>
            </w:r>
            <w:r w:rsidRPr="007C16F9">
              <w:rPr>
                <w:rFonts w:ascii="Times New Roman" w:eastAsia="Times New Roman" w:hAnsi="Times New Roman" w:cs="Times New Roman"/>
                <w:sz w:val="26"/>
                <w:szCs w:val="26"/>
              </w:rPr>
              <w:instrText xml:space="preserve"> DOCPROPERTY  #DOC_NR#  \* MERGEFORMAT </w:instrText>
            </w:r>
            <w:r w:rsidRPr="007C16F9">
              <w:rPr>
                <w:rFonts w:ascii="Times New Roman" w:eastAsia="Times New Roman" w:hAnsi="Times New Roman" w:cs="Times New Roman"/>
                <w:sz w:val="26"/>
                <w:szCs w:val="26"/>
              </w:rPr>
              <w:fldChar w:fldCharType="end"/>
            </w:r>
          </w:p>
        </w:tc>
      </w:tr>
    </w:tbl>
    <w:p w14:paraId="50BAC392" w14:textId="77777777" w:rsidR="00D52AC2" w:rsidRPr="007C16F9" w:rsidRDefault="00D52AC2" w:rsidP="00B164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ED8C2F" w14:textId="615F0F0E" w:rsidR="00D52AC2" w:rsidRPr="007C16F9" w:rsidRDefault="00D52AC2" w:rsidP="007B3A87">
      <w:pPr>
        <w:tabs>
          <w:tab w:val="center" w:pos="4909"/>
          <w:tab w:val="right" w:pos="9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16F9">
        <w:rPr>
          <w:rFonts w:ascii="Times New Roman" w:eastAsia="Times New Roman" w:hAnsi="Times New Roman" w:cs="Times New Roman"/>
          <w:sz w:val="26"/>
          <w:szCs w:val="26"/>
        </w:rPr>
        <w:t>RĪGAS DOME</w:t>
      </w:r>
    </w:p>
    <w:p w14:paraId="5F27C03D" w14:textId="77777777" w:rsidR="00D52AC2" w:rsidRPr="007C16F9" w:rsidRDefault="00D52AC2" w:rsidP="007B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306C3D9" w14:textId="77777777" w:rsidR="00D52AC2" w:rsidRPr="007C16F9" w:rsidRDefault="00D52AC2" w:rsidP="007B3A8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16F9">
        <w:rPr>
          <w:rFonts w:ascii="Times New Roman" w:eastAsia="Times New Roman" w:hAnsi="Times New Roman" w:cs="Times New Roman"/>
          <w:sz w:val="26"/>
          <w:szCs w:val="26"/>
        </w:rPr>
        <w:t>Rātslaukums 1, Rīga, LV-1539, tālrunis 67012222, e-pasts: riga@riga.lv</w:t>
      </w:r>
    </w:p>
    <w:p w14:paraId="05940D97" w14:textId="77777777" w:rsidR="00D52AC2" w:rsidRPr="007C16F9" w:rsidRDefault="00D52AC2" w:rsidP="00B164F3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20"/>
          <w:sz w:val="26"/>
          <w:szCs w:val="26"/>
        </w:rPr>
      </w:pPr>
    </w:p>
    <w:p w14:paraId="1BD9FE59" w14:textId="77777777" w:rsidR="00D52AC2" w:rsidRPr="007C16F9" w:rsidRDefault="00D52AC2" w:rsidP="007B3A87">
      <w:pPr>
        <w:keepNext/>
        <w:tabs>
          <w:tab w:val="left" w:pos="39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C16F9">
        <w:rPr>
          <w:rFonts w:ascii="Times New Roman" w:eastAsia="Times New Roman" w:hAnsi="Times New Roman" w:cs="Times New Roman"/>
          <w:sz w:val="26"/>
          <w:szCs w:val="26"/>
        </w:rPr>
        <w:t>SAISTOŠIE NOTEIKUMI</w:t>
      </w:r>
    </w:p>
    <w:p w14:paraId="14FF616B" w14:textId="77777777" w:rsidR="00D52AC2" w:rsidRPr="007C16F9" w:rsidRDefault="00D52AC2" w:rsidP="00B164F3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490B7B" w14:textId="77777777" w:rsidR="00D52AC2" w:rsidRPr="007C16F9" w:rsidRDefault="00D52AC2" w:rsidP="00B164F3">
      <w:pPr>
        <w:tabs>
          <w:tab w:val="left" w:pos="1440"/>
          <w:tab w:val="center" w:pos="46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16F9">
        <w:rPr>
          <w:rFonts w:ascii="Times New Roman" w:eastAsia="Times New Roman" w:hAnsi="Times New Roman" w:cs="Times New Roman"/>
          <w:sz w:val="26"/>
          <w:szCs w:val="26"/>
        </w:rPr>
        <w:t>Rīgā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35"/>
        <w:gridCol w:w="3696"/>
        <w:gridCol w:w="2275"/>
      </w:tblGrid>
      <w:tr w:rsidR="007C16F9" w:rsidRPr="007C16F9" w14:paraId="0FE646A8" w14:textId="77777777" w:rsidTr="00D15E5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14A3DB6" w14:textId="77777777" w:rsidR="00D52AC2" w:rsidRPr="007C16F9" w:rsidRDefault="00D52AC2" w:rsidP="00B16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F9">
              <w:rPr>
                <w:rFonts w:ascii="Times New Roman" w:eastAsia="Times New Roman" w:hAnsi="Times New Roman" w:cs="Times New Roman"/>
                <w:sz w:val="26"/>
                <w:szCs w:val="26"/>
              </w:rPr>
              <w:t>___.___.______.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82E224B" w14:textId="77777777" w:rsidR="00D52AC2" w:rsidRPr="007C16F9" w:rsidRDefault="00D52AC2" w:rsidP="00B16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14:paraId="5CE67368" w14:textId="77777777" w:rsidR="00D52AC2" w:rsidRPr="007C16F9" w:rsidRDefault="00D52AC2" w:rsidP="00B16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Nr._______</w:t>
            </w:r>
          </w:p>
        </w:tc>
      </w:tr>
      <w:tr w:rsidR="00D52AC2" w:rsidRPr="007C16F9" w14:paraId="5114E879" w14:textId="77777777" w:rsidTr="00D15E5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03167C3" w14:textId="77777777" w:rsidR="00D52AC2" w:rsidRPr="007C16F9" w:rsidRDefault="00D52AC2" w:rsidP="00B16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2665751" w14:textId="77777777" w:rsidR="00D52AC2" w:rsidRPr="007C16F9" w:rsidRDefault="00D52AC2" w:rsidP="00B16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14:paraId="3B309019" w14:textId="77777777" w:rsidR="00D52AC2" w:rsidRPr="007C16F9" w:rsidRDefault="00D52AC2" w:rsidP="00B164F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16F9">
              <w:rPr>
                <w:rFonts w:ascii="Times New Roman" w:eastAsia="Times New Roman" w:hAnsi="Times New Roman" w:cs="Times New Roman"/>
                <w:sz w:val="26"/>
                <w:szCs w:val="26"/>
              </w:rPr>
              <w:t>(prot. Nr.___, ___.§)</w:t>
            </w:r>
          </w:p>
        </w:tc>
      </w:tr>
    </w:tbl>
    <w:p w14:paraId="2A27382F" w14:textId="77777777" w:rsidR="00D52AC2" w:rsidRPr="007C16F9" w:rsidRDefault="00D52AC2" w:rsidP="00B16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8B394DE" w14:textId="77777777" w:rsidR="00D52AC2" w:rsidRPr="007C16F9" w:rsidRDefault="00D52AC2" w:rsidP="00B164F3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_Hlk36634929"/>
    </w:p>
    <w:p w14:paraId="58C5A503" w14:textId="77777777" w:rsidR="00D52AC2" w:rsidRPr="007C16F9" w:rsidRDefault="00D52AC2" w:rsidP="00B164F3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bookmarkStart w:id="2" w:name="_Hlk140232734"/>
    <w:p w14:paraId="3DA32ED4" w14:textId="67973377" w:rsidR="00D52AC2" w:rsidRPr="007C16F9" w:rsidRDefault="00D52AC2" w:rsidP="007B3A8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6F9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begin"/>
      </w:r>
      <w:r w:rsidRPr="007C16F9">
        <w:rPr>
          <w:rFonts w:ascii="Times New Roman" w:eastAsia="Times New Roman" w:hAnsi="Times New Roman" w:cs="Times New Roman"/>
          <w:b/>
          <w:bCs/>
          <w:sz w:val="26"/>
          <w:szCs w:val="26"/>
        </w:rPr>
        <w:instrText xml:space="preserve"> DOCPROPERTY  #ANOTACIJA#  \* MERGEFORMAT </w:instrText>
      </w:r>
      <w:r w:rsidRPr="007C16F9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separate"/>
      </w:r>
      <w:bookmarkEnd w:id="1"/>
      <w:r w:rsidRPr="007C16F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Par </w:t>
      </w:r>
      <w:r w:rsidRPr="007C16F9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end"/>
      </w:r>
      <w:r w:rsidR="00C65899" w:rsidRPr="007C16F9">
        <w:rPr>
          <w:rFonts w:ascii="Times New Roman" w:eastAsia="Times New Roman" w:hAnsi="Times New Roman" w:cs="Times New Roman"/>
          <w:b/>
          <w:bCs/>
          <w:sz w:val="26"/>
          <w:szCs w:val="26"/>
        </w:rPr>
        <w:t>kultūrvēsturiskā</w:t>
      </w:r>
      <w:r w:rsidR="0035457D"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 w:rsidR="00C65899" w:rsidRPr="007C16F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3545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vērtības noteikšanu </w:t>
      </w:r>
      <w:r w:rsidR="0035457D" w:rsidRPr="003A06E9">
        <w:rPr>
          <w:rFonts w:ascii="Times New Roman" w:eastAsia="Times New Roman" w:hAnsi="Times New Roman" w:cs="Times New Roman"/>
          <w:b/>
          <w:bCs/>
          <w:sz w:val="26"/>
          <w:szCs w:val="26"/>
        </w:rPr>
        <w:t>vēsturiskām būvēm</w:t>
      </w:r>
      <w:r w:rsidR="0035457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un vēsturiskiem apstādījumiem</w:t>
      </w:r>
      <w:r w:rsidR="008149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C16F9">
        <w:rPr>
          <w:rFonts w:ascii="Times New Roman" w:hAnsi="Times New Roman" w:cs="Times New Roman"/>
          <w:b/>
          <w:bCs/>
          <w:sz w:val="26"/>
          <w:szCs w:val="26"/>
        </w:rPr>
        <w:t>Rīgas valst</w:t>
      </w:r>
      <w:r w:rsidR="001A2813" w:rsidRPr="007C16F9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7C16F9">
        <w:rPr>
          <w:rFonts w:ascii="Times New Roman" w:hAnsi="Times New Roman" w:cs="Times New Roman"/>
          <w:b/>
          <w:bCs/>
          <w:sz w:val="26"/>
          <w:szCs w:val="26"/>
        </w:rPr>
        <w:t xml:space="preserve">pilsētas </w:t>
      </w:r>
      <w:r w:rsidR="0035457D">
        <w:rPr>
          <w:rFonts w:ascii="Times New Roman" w:hAnsi="Times New Roman" w:cs="Times New Roman"/>
          <w:b/>
          <w:bCs/>
          <w:sz w:val="26"/>
          <w:szCs w:val="26"/>
        </w:rPr>
        <w:t xml:space="preserve">pašvaldības </w:t>
      </w:r>
      <w:r w:rsidRPr="007C16F9">
        <w:rPr>
          <w:rFonts w:ascii="Times New Roman" w:hAnsi="Times New Roman" w:cs="Times New Roman"/>
          <w:b/>
          <w:bCs/>
          <w:sz w:val="26"/>
          <w:szCs w:val="26"/>
        </w:rPr>
        <w:t>teritorijā</w:t>
      </w:r>
    </w:p>
    <w:bookmarkEnd w:id="2"/>
    <w:p w14:paraId="384846FE" w14:textId="77777777" w:rsidR="00D52AC2" w:rsidRPr="007C16F9" w:rsidRDefault="00D52AC2" w:rsidP="00B164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75"/>
      </w:tblGrid>
      <w:tr w:rsidR="00D52AC2" w:rsidRPr="007C16F9" w14:paraId="52C7560D" w14:textId="77777777" w:rsidTr="00567F76">
        <w:trPr>
          <w:jc w:val="right"/>
        </w:trPr>
        <w:tc>
          <w:tcPr>
            <w:tcW w:w="4375" w:type="dxa"/>
            <w:hideMark/>
          </w:tcPr>
          <w:p w14:paraId="47D85F28" w14:textId="090C4AC1" w:rsidR="00D52AC2" w:rsidRPr="007C16F9" w:rsidRDefault="00AB502D" w:rsidP="00B16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C16F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Izdoti saskaņā ar </w:t>
            </w:r>
            <w:r w:rsidRPr="007C16F9">
              <w:rPr>
                <w:rFonts w:ascii="Times New Roman" w:hAnsi="Times New Roman" w:cs="Times New Roman"/>
                <w:sz w:val="26"/>
                <w:szCs w:val="26"/>
              </w:rPr>
              <w:t>Pašvaldību likuma 4.</w:t>
            </w:r>
            <w:r w:rsidR="00567F7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C16F9">
              <w:rPr>
                <w:rFonts w:ascii="Times New Roman" w:hAnsi="Times New Roman" w:cs="Times New Roman"/>
                <w:sz w:val="26"/>
                <w:szCs w:val="26"/>
              </w:rPr>
              <w:t>pant</w:t>
            </w:r>
            <w:r w:rsidR="00C65899" w:rsidRPr="007C16F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7C16F9">
              <w:rPr>
                <w:rFonts w:ascii="Times New Roman" w:hAnsi="Times New Roman" w:cs="Times New Roman"/>
                <w:sz w:val="26"/>
                <w:szCs w:val="26"/>
              </w:rPr>
              <w:t xml:space="preserve"> pirmās daļas 2. punkt</w:t>
            </w:r>
            <w:r w:rsidR="00C65899" w:rsidRPr="007C16F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7C16F9">
              <w:rPr>
                <w:rFonts w:ascii="Times New Roman" w:hAnsi="Times New Roman" w:cs="Times New Roman"/>
                <w:sz w:val="26"/>
                <w:szCs w:val="26"/>
              </w:rPr>
              <w:t xml:space="preserve"> un  5.</w:t>
            </w:r>
            <w:r w:rsidR="00567F7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C16F9">
              <w:rPr>
                <w:rFonts w:ascii="Times New Roman" w:hAnsi="Times New Roman" w:cs="Times New Roman"/>
                <w:sz w:val="26"/>
                <w:szCs w:val="26"/>
              </w:rPr>
              <w:t>punkt</w:t>
            </w:r>
            <w:r w:rsidR="00C65899" w:rsidRPr="007C16F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r w:rsidRPr="007C16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47F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7F02" w:rsidRPr="00D14979">
              <w:rPr>
                <w:rFonts w:ascii="Times New Roman" w:hAnsi="Times New Roman" w:cs="Times New Roman"/>
                <w:sz w:val="26"/>
                <w:szCs w:val="26"/>
              </w:rPr>
              <w:t>44. panta otro daļu</w:t>
            </w:r>
            <w:r w:rsidR="00567F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443D065E" w14:textId="055AEFB6" w:rsidR="00D52AC2" w:rsidRPr="007C16F9" w:rsidRDefault="00D52AC2" w:rsidP="00B16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AAD284" w14:textId="77777777" w:rsidR="00D52AC2" w:rsidRPr="007C16F9" w:rsidRDefault="00D52AC2" w:rsidP="00B16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42A0F39" w14:textId="36B056C7" w:rsidR="00D52AC2" w:rsidRPr="007C16F9" w:rsidRDefault="004F49C5" w:rsidP="007C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16F9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="0047220D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7C16F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52AC2" w:rsidRPr="007C16F9">
        <w:rPr>
          <w:rFonts w:ascii="Times New Roman" w:eastAsia="Times New Roman" w:hAnsi="Times New Roman" w:cs="Times New Roman"/>
          <w:b/>
          <w:bCs/>
          <w:sz w:val="26"/>
          <w:szCs w:val="26"/>
        </w:rPr>
        <w:t>Vispārīgie jautājumi</w:t>
      </w:r>
    </w:p>
    <w:p w14:paraId="6AB23379" w14:textId="77777777" w:rsidR="00A0454C" w:rsidRPr="00AD1BFD" w:rsidRDefault="00A0454C" w:rsidP="00A04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p1"/>
      <w:bookmarkStart w:id="4" w:name="p-463730"/>
      <w:bookmarkEnd w:id="3"/>
      <w:bookmarkEnd w:id="4"/>
    </w:p>
    <w:p w14:paraId="55404240" w14:textId="4F5B6508" w:rsidR="002D2508" w:rsidRPr="002D2508" w:rsidRDefault="00D52AC2" w:rsidP="002D2508">
      <w:pPr>
        <w:pStyle w:val="Sarakstarindkop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AD1BFD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Saistošie noteikumi (turpmāk – </w:t>
      </w:r>
      <w:r w:rsidR="005F6B32" w:rsidRPr="00DE3267">
        <w:rPr>
          <w:rFonts w:ascii="Times New Roman" w:eastAsia="Times New Roman" w:hAnsi="Times New Roman" w:cs="Times New Roman"/>
          <w:sz w:val="26"/>
          <w:szCs w:val="26"/>
          <w:lang w:eastAsia="lv-LV"/>
        </w:rPr>
        <w:t>n</w:t>
      </w:r>
      <w:r w:rsidRPr="00DE3267">
        <w:rPr>
          <w:rFonts w:ascii="Times New Roman" w:eastAsia="Times New Roman" w:hAnsi="Times New Roman" w:cs="Times New Roman"/>
          <w:sz w:val="26"/>
          <w:szCs w:val="26"/>
          <w:lang w:eastAsia="lv-LV"/>
        </w:rPr>
        <w:t>oteikumi) nosaka</w:t>
      </w:r>
      <w:r w:rsidR="002D250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2D2508" w:rsidRPr="00DE3267">
        <w:rPr>
          <w:rFonts w:ascii="Times New Roman" w:eastAsia="Times New Roman" w:hAnsi="Times New Roman" w:cs="Times New Roman"/>
          <w:sz w:val="26"/>
          <w:szCs w:val="26"/>
        </w:rPr>
        <w:t>kultūrvēsturiskās vērtības noteikšanas kārtību</w:t>
      </w:r>
      <w:r w:rsidR="002D250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2D2508" w:rsidRPr="002D2508">
        <w:rPr>
          <w:rFonts w:ascii="Times New Roman" w:eastAsia="Times New Roman" w:hAnsi="Times New Roman" w:cs="Times New Roman"/>
          <w:sz w:val="26"/>
          <w:szCs w:val="26"/>
        </w:rPr>
        <w:t>vēsturiskām būvēm</w:t>
      </w:r>
      <w:r w:rsidR="002D2508" w:rsidRPr="002D2508">
        <w:rPr>
          <w:rFonts w:ascii="Times New Roman" w:hAnsi="Times New Roman" w:cs="Times New Roman"/>
          <w:sz w:val="26"/>
          <w:szCs w:val="26"/>
        </w:rPr>
        <w:t xml:space="preserve"> </w:t>
      </w:r>
      <w:r w:rsidR="002D2508" w:rsidRPr="002D2508">
        <w:rPr>
          <w:rFonts w:ascii="Times New Roman" w:eastAsia="Times New Roman" w:hAnsi="Times New Roman" w:cs="Times New Roman"/>
          <w:sz w:val="26"/>
          <w:szCs w:val="26"/>
        </w:rPr>
        <w:t xml:space="preserve">un vēsturiskiem apstādījumiem, kas nav iekļauti </w:t>
      </w:r>
      <w:r w:rsidR="002D2508" w:rsidRPr="002D2508">
        <w:rPr>
          <w:rFonts w:ascii="Times New Roman" w:hAnsi="Times New Roman" w:cs="Times New Roman"/>
          <w:sz w:val="26"/>
          <w:szCs w:val="26"/>
        </w:rPr>
        <w:t>valsts aizsargājamo kultūras pieminekļu sarakstā</w:t>
      </w:r>
      <w:r w:rsidR="002D2508" w:rsidRPr="002D2508">
        <w:rPr>
          <w:rFonts w:ascii="Times New Roman" w:eastAsia="Times New Roman" w:hAnsi="Times New Roman" w:cs="Times New Roman"/>
          <w:sz w:val="26"/>
          <w:szCs w:val="26"/>
        </w:rPr>
        <w:t xml:space="preserve"> un atrodas Rīgas valstspilsētas pašvaldības teritorijā ārpus</w:t>
      </w:r>
      <w:r w:rsidR="002D250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2D2508" w:rsidRPr="002D2508">
        <w:rPr>
          <w:rFonts w:ascii="Times New Roman" w:hAnsi="Times New Roman" w:cs="Times New Roman"/>
          <w:sz w:val="26"/>
          <w:szCs w:val="26"/>
        </w:rPr>
        <w:t>Rīgas vēsturiskā centra (Apvienoto Nāciju Izglītības, zinātnes un kultūras organizācijas [UNESCO] Pasaules kultūras un dabas mantojuma objekts Nr.852) un tā aizsardzības zonas teritorijas</w:t>
      </w:r>
      <w:r w:rsidR="002D2508">
        <w:rPr>
          <w:rFonts w:ascii="Times New Roman" w:hAnsi="Times New Roman" w:cs="Times New Roman"/>
          <w:sz w:val="26"/>
          <w:szCs w:val="26"/>
        </w:rPr>
        <w:t>.</w:t>
      </w:r>
    </w:p>
    <w:p w14:paraId="5F9C037F" w14:textId="77777777" w:rsidR="00D14979" w:rsidRPr="00DE3267" w:rsidRDefault="00D14979" w:rsidP="00D14979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79EF3FDC" w14:textId="70196860" w:rsidR="003D232E" w:rsidRPr="00DE3267" w:rsidRDefault="00D14979" w:rsidP="003D232E">
      <w:pPr>
        <w:pStyle w:val="tv213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E3267">
        <w:rPr>
          <w:rStyle w:val="normaltextrun"/>
          <w:sz w:val="26"/>
          <w:szCs w:val="26"/>
          <w:bdr w:val="none" w:sz="0" w:space="0" w:color="auto" w:frame="1"/>
        </w:rPr>
        <w:t>Noteikumos ir lietoti šādi termini:</w:t>
      </w:r>
    </w:p>
    <w:p w14:paraId="64C77AAB" w14:textId="24F1D3EF" w:rsidR="003D232E" w:rsidRPr="0090415C" w:rsidRDefault="003D232E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0415C">
        <w:rPr>
          <w:rFonts w:ascii="Times New Roman" w:hAnsi="Times New Roman" w:cs="Times New Roman"/>
          <w:sz w:val="26"/>
          <w:szCs w:val="26"/>
        </w:rPr>
        <w:t xml:space="preserve">kultūrvēsturiskā vērtība – </w:t>
      </w:r>
      <w:r w:rsidR="0090415C" w:rsidRPr="0090415C">
        <w:rPr>
          <w:rFonts w:ascii="Times New Roman" w:hAnsi="Times New Roman" w:cs="Times New Roman"/>
          <w:sz w:val="26"/>
          <w:szCs w:val="26"/>
        </w:rPr>
        <w:t>pazīmju kopums, kas piemīt</w:t>
      </w:r>
      <w:r w:rsidR="0090415C" w:rsidRPr="009041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konkrētiem arhitektūras objektiem un pilsētas plānojuma elementiem ar izteiktu vēsturisko, māksliniecisko un kultūras nozīmi;</w:t>
      </w:r>
    </w:p>
    <w:p w14:paraId="5E5DCFED" w14:textId="1C5C70B4" w:rsidR="003D232E" w:rsidRPr="00DE3267" w:rsidRDefault="003D232E" w:rsidP="003D232E">
      <w:pPr>
        <w:pStyle w:val="tv213"/>
        <w:numPr>
          <w:ilvl w:val="1"/>
          <w:numId w:val="16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E3267">
        <w:rPr>
          <w:sz w:val="26"/>
          <w:szCs w:val="26"/>
        </w:rPr>
        <w:t>vēsturisk</w:t>
      </w:r>
      <w:r w:rsidR="0090415C">
        <w:rPr>
          <w:sz w:val="26"/>
          <w:szCs w:val="26"/>
        </w:rPr>
        <w:t>a</w:t>
      </w:r>
      <w:r w:rsidRPr="00DE3267">
        <w:rPr>
          <w:sz w:val="26"/>
          <w:szCs w:val="26"/>
        </w:rPr>
        <w:t xml:space="preserve"> būve – </w:t>
      </w:r>
      <w:r w:rsidR="0090415C" w:rsidRPr="003A06E9">
        <w:rPr>
          <w:sz w:val="26"/>
          <w:szCs w:val="26"/>
        </w:rPr>
        <w:t>būve</w:t>
      </w:r>
      <w:r w:rsidR="0090415C" w:rsidRPr="0090415C">
        <w:rPr>
          <w:sz w:val="26"/>
          <w:szCs w:val="26"/>
        </w:rPr>
        <w:t>, kas būvēta pirms vairāk nekā 50 gadiem, nav kultūras piemineklis un atrodas ārpus Rīgas vēsturiskā centra (Apvienoto Nāciju Izglītības, zinātnes un kultūras organizācijas [UNESCO] Pasaules kultūras un dabas mantojuma objekts Nr.852) un tā aizsardzības zonas teritorijas;</w:t>
      </w:r>
    </w:p>
    <w:p w14:paraId="50CFB899" w14:textId="54E6E486" w:rsidR="0090415C" w:rsidRDefault="003D232E" w:rsidP="0090415C">
      <w:pPr>
        <w:pStyle w:val="tv213"/>
        <w:numPr>
          <w:ilvl w:val="1"/>
          <w:numId w:val="16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E3267">
        <w:rPr>
          <w:sz w:val="26"/>
          <w:szCs w:val="26"/>
        </w:rPr>
        <w:t>vēsturiski apstādījumi – mežaparki, parki, dārzi, kapsētu apstādījumi, alejas un citi ainavu arhitektūras un dārzu mākslas objekti vai to daļas, kas ierīkot</w:t>
      </w:r>
      <w:r w:rsidR="009139C6">
        <w:rPr>
          <w:sz w:val="26"/>
          <w:szCs w:val="26"/>
        </w:rPr>
        <w:t xml:space="preserve">i </w:t>
      </w:r>
      <w:r w:rsidR="009139C6" w:rsidRPr="00DE3267">
        <w:rPr>
          <w:sz w:val="26"/>
          <w:szCs w:val="26"/>
        </w:rPr>
        <w:t xml:space="preserve">pirms </w:t>
      </w:r>
      <w:r w:rsidRPr="00DE3267">
        <w:rPr>
          <w:sz w:val="26"/>
          <w:szCs w:val="26"/>
        </w:rPr>
        <w:t>vairāk nekā 50 gadiem</w:t>
      </w:r>
      <w:r w:rsidR="0090415C">
        <w:rPr>
          <w:sz w:val="26"/>
          <w:szCs w:val="26"/>
        </w:rPr>
        <w:t>;</w:t>
      </w:r>
      <w:r w:rsidRPr="00DE3267">
        <w:rPr>
          <w:sz w:val="26"/>
          <w:szCs w:val="26"/>
        </w:rPr>
        <w:t xml:space="preserve"> </w:t>
      </w:r>
    </w:p>
    <w:p w14:paraId="7FA0CC69" w14:textId="7B43B015" w:rsidR="0090415C" w:rsidRPr="0090415C" w:rsidRDefault="0090415C" w:rsidP="0090415C">
      <w:pPr>
        <w:pStyle w:val="tv213"/>
        <w:numPr>
          <w:ilvl w:val="1"/>
          <w:numId w:val="16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90415C">
        <w:rPr>
          <w:sz w:val="26"/>
          <w:szCs w:val="26"/>
        </w:rPr>
        <w:lastRenderedPageBreak/>
        <w:t>arhitektoniski mākslinieciskā inventarizācija – objekta vizuālā izpēte un fotofiksācija, kas tiek veikta, lai noskaidrotu objekta, kā arī atsevišķu tā daļu kultūrvēsturisko vērtību un nozīmi.</w:t>
      </w:r>
    </w:p>
    <w:p w14:paraId="3AA2FC29" w14:textId="77777777" w:rsidR="00A27D0C" w:rsidRPr="00DE3267" w:rsidRDefault="00A27D0C" w:rsidP="00A27D0C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4BFCB4FA" w14:textId="0E726502" w:rsidR="00900F97" w:rsidRPr="00DE3267" w:rsidRDefault="00900F97" w:rsidP="003D232E">
      <w:pPr>
        <w:pStyle w:val="Sarakstarindkop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E3267">
        <w:rPr>
          <w:rFonts w:ascii="Times New Roman" w:hAnsi="Times New Roman" w:cs="Times New Roman"/>
          <w:sz w:val="26"/>
          <w:szCs w:val="26"/>
        </w:rPr>
        <w:t xml:space="preserve">Noteikumu uzdevums ir nodrošināt objektīvu, profesionālu un vispusīgu </w:t>
      </w:r>
      <w:r w:rsidR="00852095" w:rsidRPr="00DE3267">
        <w:rPr>
          <w:rFonts w:ascii="Times New Roman" w:hAnsi="Times New Roman" w:cs="Times New Roman"/>
          <w:sz w:val="26"/>
          <w:szCs w:val="26"/>
        </w:rPr>
        <w:t xml:space="preserve">vēsturisko </w:t>
      </w:r>
      <w:r w:rsidRPr="00DE3267">
        <w:rPr>
          <w:rFonts w:ascii="Times New Roman" w:hAnsi="Times New Roman" w:cs="Times New Roman"/>
          <w:sz w:val="26"/>
          <w:szCs w:val="26"/>
        </w:rPr>
        <w:t xml:space="preserve">būvju un </w:t>
      </w:r>
      <w:r w:rsidR="0035457D" w:rsidRPr="00DE3267">
        <w:rPr>
          <w:rFonts w:ascii="Times New Roman" w:hAnsi="Times New Roman" w:cs="Times New Roman"/>
          <w:sz w:val="26"/>
          <w:szCs w:val="26"/>
        </w:rPr>
        <w:t xml:space="preserve">vēsturisko </w:t>
      </w:r>
      <w:r w:rsidRPr="00DE3267">
        <w:rPr>
          <w:rFonts w:ascii="Times New Roman" w:hAnsi="Times New Roman" w:cs="Times New Roman"/>
          <w:sz w:val="26"/>
          <w:szCs w:val="26"/>
        </w:rPr>
        <w:t xml:space="preserve">apstādījumu kultūrvēsturiskās vērtības izvērtēšanu un </w:t>
      </w:r>
      <w:r w:rsidR="0035457D" w:rsidRPr="00DE3267">
        <w:rPr>
          <w:rFonts w:ascii="Times New Roman" w:hAnsi="Times New Roman" w:cs="Times New Roman"/>
          <w:sz w:val="26"/>
          <w:szCs w:val="26"/>
        </w:rPr>
        <w:t xml:space="preserve">kultūrvēsturiskās vērtības </w:t>
      </w:r>
      <w:r w:rsidRPr="00DE3267">
        <w:rPr>
          <w:rFonts w:ascii="Times New Roman" w:hAnsi="Times New Roman" w:cs="Times New Roman"/>
          <w:sz w:val="26"/>
          <w:szCs w:val="26"/>
        </w:rPr>
        <w:t>līmeņa noteikšanu</w:t>
      </w:r>
      <w:r w:rsidR="0090415C">
        <w:rPr>
          <w:rFonts w:ascii="Times New Roman" w:hAnsi="Times New Roman" w:cs="Times New Roman"/>
          <w:sz w:val="26"/>
          <w:szCs w:val="26"/>
        </w:rPr>
        <w:t xml:space="preserve"> ar </w:t>
      </w:r>
      <w:r w:rsidR="0090415C" w:rsidRPr="0090415C">
        <w:rPr>
          <w:rFonts w:ascii="Times New Roman" w:hAnsi="Times New Roman" w:cs="Times New Roman"/>
          <w:sz w:val="26"/>
          <w:szCs w:val="26"/>
        </w:rPr>
        <w:t xml:space="preserve">mērķi </w:t>
      </w:r>
      <w:r w:rsidR="0090415C" w:rsidRPr="0090415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aizsargāt </w:t>
      </w:r>
      <w:r w:rsidR="0090415C" w:rsidRPr="0090415C">
        <w:rPr>
          <w:rFonts w:ascii="Times New Roman" w:eastAsia="Times New Roman" w:hAnsi="Times New Roman" w:cs="Times New Roman"/>
          <w:sz w:val="26"/>
          <w:szCs w:val="26"/>
        </w:rPr>
        <w:t xml:space="preserve">esošo kultūrvēsturisko mantojumu </w:t>
      </w:r>
      <w:r w:rsidR="0090415C" w:rsidRPr="0090415C">
        <w:rPr>
          <w:rFonts w:ascii="Times New Roman" w:eastAsia="Times New Roman" w:hAnsi="Times New Roman" w:cs="Times New Roman"/>
          <w:sz w:val="26"/>
          <w:szCs w:val="26"/>
          <w:lang w:eastAsia="lv-LV"/>
        </w:rPr>
        <w:t>no būtiskiem pārveidojumiem.</w:t>
      </w:r>
    </w:p>
    <w:p w14:paraId="10E107CB" w14:textId="77777777" w:rsidR="00900F97" w:rsidRPr="00AD1BFD" w:rsidRDefault="00900F97" w:rsidP="00900F97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595E11F2" w14:textId="58209BEA" w:rsidR="00A0454C" w:rsidRPr="00D90EE3" w:rsidRDefault="00A0454C" w:rsidP="00D90EE3">
      <w:pPr>
        <w:pStyle w:val="Sarakstarindkop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AD1BFD">
        <w:rPr>
          <w:rFonts w:ascii="Times New Roman" w:hAnsi="Times New Roman" w:cs="Times New Roman"/>
          <w:sz w:val="26"/>
          <w:szCs w:val="26"/>
        </w:rPr>
        <w:t>Par kultūrvēsturiskā</w:t>
      </w:r>
      <w:r w:rsidR="0035457D">
        <w:rPr>
          <w:rFonts w:ascii="Times New Roman" w:hAnsi="Times New Roman" w:cs="Times New Roman"/>
          <w:sz w:val="26"/>
          <w:szCs w:val="26"/>
        </w:rPr>
        <w:t>s vērtības noteikšanu vēsturiskām būvēm un vēsturiskiem apstādījumiem</w:t>
      </w:r>
      <w:r w:rsidRPr="00AD1BFD">
        <w:rPr>
          <w:rFonts w:ascii="Times New Roman" w:hAnsi="Times New Roman" w:cs="Times New Roman"/>
          <w:sz w:val="26"/>
          <w:szCs w:val="26"/>
        </w:rPr>
        <w:t xml:space="preserve"> Rīgas valstspilsētas </w:t>
      </w:r>
      <w:r w:rsidR="0035457D">
        <w:rPr>
          <w:rFonts w:ascii="Times New Roman" w:hAnsi="Times New Roman" w:cs="Times New Roman"/>
          <w:sz w:val="26"/>
          <w:szCs w:val="26"/>
        </w:rPr>
        <w:t xml:space="preserve">pašvaldības </w:t>
      </w:r>
      <w:r w:rsidRPr="00AD1BFD">
        <w:rPr>
          <w:rFonts w:ascii="Times New Roman" w:hAnsi="Times New Roman" w:cs="Times New Roman"/>
          <w:sz w:val="26"/>
          <w:szCs w:val="26"/>
        </w:rPr>
        <w:t xml:space="preserve">administratīvajā teritorijā atbild </w:t>
      </w:r>
      <w:r w:rsidR="003B0A9D" w:rsidRPr="00AD1BFD">
        <w:rPr>
          <w:rFonts w:ascii="Times New Roman" w:hAnsi="Times New Roman" w:cs="Times New Roman"/>
          <w:sz w:val="26"/>
          <w:szCs w:val="26"/>
        </w:rPr>
        <w:t xml:space="preserve">Rīgas valstspilsētas </w:t>
      </w:r>
      <w:r w:rsidR="003B0A9D">
        <w:rPr>
          <w:rFonts w:ascii="Times New Roman" w:hAnsi="Times New Roman" w:cs="Times New Roman"/>
          <w:sz w:val="26"/>
          <w:szCs w:val="26"/>
        </w:rPr>
        <w:t xml:space="preserve">pašvaldības </w:t>
      </w:r>
      <w:r w:rsidRPr="00AD1BFD">
        <w:rPr>
          <w:rFonts w:ascii="Times New Roman" w:hAnsi="Times New Roman" w:cs="Times New Roman"/>
          <w:sz w:val="26"/>
          <w:szCs w:val="26"/>
        </w:rPr>
        <w:t>Pilsētas attīstības departaments (turpmāk – Departaments</w:t>
      </w:r>
      <w:r w:rsidRPr="0090415C">
        <w:rPr>
          <w:rFonts w:ascii="Times New Roman" w:hAnsi="Times New Roman" w:cs="Times New Roman"/>
          <w:sz w:val="26"/>
          <w:szCs w:val="26"/>
        </w:rPr>
        <w:t>).</w:t>
      </w:r>
      <w:r w:rsidR="0090415C" w:rsidRPr="0090415C">
        <w:rPr>
          <w:rFonts w:ascii="Times New Roman" w:hAnsi="Times New Roman" w:cs="Times New Roman"/>
          <w:sz w:val="26"/>
          <w:szCs w:val="26"/>
        </w:rPr>
        <w:t xml:space="preserve"> </w:t>
      </w:r>
      <w:r w:rsidR="0090415C" w:rsidRPr="0090415C">
        <w:rPr>
          <w:rFonts w:ascii="Times New Roman" w:eastAsia="Times New Roman" w:hAnsi="Times New Roman" w:cs="Times New Roman"/>
          <w:sz w:val="26"/>
          <w:szCs w:val="26"/>
          <w:lang w:eastAsia="lv-LV"/>
        </w:rPr>
        <w:t>Departaments izvērtē attīstības</w:t>
      </w:r>
      <w:r w:rsidR="0090415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priekšlikumus</w:t>
      </w:r>
      <w:r w:rsidR="0090415C" w:rsidRPr="0090415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un </w:t>
      </w:r>
      <w:r w:rsidR="0090415C">
        <w:rPr>
          <w:rFonts w:ascii="Times New Roman" w:eastAsia="Times New Roman" w:hAnsi="Times New Roman" w:cs="Times New Roman"/>
          <w:sz w:val="26"/>
          <w:szCs w:val="26"/>
          <w:lang w:eastAsia="lv-LV"/>
        </w:rPr>
        <w:t>būvju pārveidošanas dokumentāciju</w:t>
      </w:r>
      <w:r w:rsidR="0090415C" w:rsidRPr="0090415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, ņemot vērā </w:t>
      </w:r>
      <w:r w:rsidR="0090415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vēsturisko </w:t>
      </w:r>
      <w:r w:rsidR="0090415C" w:rsidRPr="0090415C">
        <w:rPr>
          <w:rFonts w:ascii="Times New Roman" w:eastAsia="Times New Roman" w:hAnsi="Times New Roman" w:cs="Times New Roman"/>
          <w:sz w:val="26"/>
          <w:szCs w:val="26"/>
          <w:lang w:eastAsia="lv-LV"/>
        </w:rPr>
        <w:t>būvju</w:t>
      </w:r>
      <w:r w:rsidR="0090415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un vēsturisko apstādījumu</w:t>
      </w:r>
      <w:r w:rsidR="00D90EE3">
        <w:rPr>
          <w:rFonts w:ascii="Times New Roman" w:eastAsia="Times New Roman" w:hAnsi="Times New Roman" w:cs="Times New Roman"/>
          <w:sz w:val="26"/>
          <w:szCs w:val="26"/>
          <w:lang w:eastAsia="lv-LV"/>
        </w:rPr>
        <w:t>, kā arī</w:t>
      </w:r>
      <w:r w:rsidR="0090415C" w:rsidRPr="0090415C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to atsevišķu elementu kultūrvēsturiskās vērtības līmeni. Ja </w:t>
      </w:r>
      <w:r w:rsidR="00D90EE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vēsturiskai </w:t>
      </w:r>
      <w:r w:rsidR="0090415C">
        <w:rPr>
          <w:rFonts w:ascii="Times New Roman" w:eastAsia="Times New Roman" w:hAnsi="Times New Roman" w:cs="Times New Roman"/>
          <w:sz w:val="26"/>
          <w:szCs w:val="26"/>
          <w:lang w:eastAsia="lv-LV"/>
        </w:rPr>
        <w:t>būvei</w:t>
      </w:r>
      <w:r w:rsidR="00D90EE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vai vēsturiskiem apstādījumiem</w:t>
      </w:r>
      <w:r w:rsidR="0090415C" w:rsidRPr="00D90EE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nav noteikts kultūrvēsturiskās vērtības līmenis, to nosaka Departaments.</w:t>
      </w:r>
    </w:p>
    <w:p w14:paraId="7B79021B" w14:textId="77777777" w:rsidR="00900F97" w:rsidRDefault="00900F97" w:rsidP="00900F97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698A9B2A" w14:textId="79C61F71" w:rsidR="00A0454C" w:rsidRDefault="00A0454C" w:rsidP="00A04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3AF975A1" w14:textId="232395A8" w:rsidR="00A0454C" w:rsidRPr="007C16F9" w:rsidRDefault="00A0454C" w:rsidP="00A0454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16F9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="0047220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7C16F9">
        <w:rPr>
          <w:rFonts w:ascii="Times New Roman" w:hAnsi="Times New Roman" w:cs="Times New Roman"/>
          <w:b/>
          <w:bCs/>
          <w:sz w:val="26"/>
          <w:szCs w:val="26"/>
        </w:rPr>
        <w:t xml:space="preserve"> Kultūrvēsturiskās vērtības noteikšanas </w:t>
      </w:r>
      <w:r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="0035457D">
        <w:rPr>
          <w:rFonts w:ascii="Times New Roman" w:hAnsi="Times New Roman" w:cs="Times New Roman"/>
          <w:b/>
          <w:bCs/>
          <w:sz w:val="26"/>
          <w:szCs w:val="26"/>
        </w:rPr>
        <w:t>ā</w:t>
      </w:r>
      <w:r>
        <w:rPr>
          <w:rFonts w:ascii="Times New Roman" w:hAnsi="Times New Roman" w:cs="Times New Roman"/>
          <w:b/>
          <w:bCs/>
          <w:sz w:val="26"/>
          <w:szCs w:val="26"/>
        </w:rPr>
        <w:t>rtība</w:t>
      </w:r>
    </w:p>
    <w:p w14:paraId="40B12CEF" w14:textId="6815A277" w:rsidR="00A0454C" w:rsidRDefault="00A0454C" w:rsidP="00A045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1DD34CD1" w14:textId="67816044" w:rsidR="00A0454C" w:rsidRPr="00DE3267" w:rsidRDefault="00761191" w:rsidP="003D232E">
      <w:pPr>
        <w:pStyle w:val="Sarakstarindkop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267">
        <w:rPr>
          <w:rFonts w:ascii="Times New Roman" w:eastAsia="Times New Roman" w:hAnsi="Times New Roman" w:cs="Times New Roman"/>
          <w:sz w:val="26"/>
          <w:szCs w:val="26"/>
        </w:rPr>
        <w:t>K</w:t>
      </w:r>
      <w:r w:rsidR="00213A3A" w:rsidRPr="00DE3267">
        <w:rPr>
          <w:rFonts w:ascii="Times New Roman" w:eastAsia="Times New Roman" w:hAnsi="Times New Roman" w:cs="Times New Roman"/>
          <w:sz w:val="26"/>
          <w:szCs w:val="26"/>
        </w:rPr>
        <w:t>ultūrvēsturiskā vērtība tiek noteikta</w:t>
      </w:r>
      <w:r w:rsidR="00900F97" w:rsidRPr="00DE3267">
        <w:rPr>
          <w:rFonts w:ascii="Times New Roman" w:eastAsia="Times New Roman" w:hAnsi="Times New Roman" w:cs="Times New Roman"/>
          <w:sz w:val="26"/>
          <w:szCs w:val="26"/>
        </w:rPr>
        <w:t xml:space="preserve"> šādiem objektiem (turpmāk – Mantojuma objekti)</w:t>
      </w:r>
      <w:r w:rsidR="00A0454C" w:rsidRPr="00DE3267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2626796" w14:textId="4CFEA4CB" w:rsidR="002B3029" w:rsidRPr="00DE3267" w:rsidRDefault="002B3029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267">
        <w:rPr>
          <w:rFonts w:ascii="Times New Roman" w:eastAsia="Times New Roman" w:hAnsi="Times New Roman" w:cs="Times New Roman"/>
          <w:sz w:val="26"/>
          <w:szCs w:val="26"/>
        </w:rPr>
        <w:t>vēsturiskām būvēm</w:t>
      </w:r>
      <w:r w:rsidR="00D90EE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E0D98C5" w14:textId="3410CD31" w:rsidR="00DC6FCB" w:rsidRPr="00DE3267" w:rsidRDefault="002B3029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267">
        <w:rPr>
          <w:rFonts w:ascii="Times New Roman" w:eastAsia="Times New Roman" w:hAnsi="Times New Roman" w:cs="Times New Roman"/>
          <w:sz w:val="26"/>
          <w:szCs w:val="26"/>
        </w:rPr>
        <w:t>vēsturiskiem apstādījumiem.</w:t>
      </w:r>
    </w:p>
    <w:p w14:paraId="39577925" w14:textId="77777777" w:rsidR="00AD1BFD" w:rsidRPr="00C133DC" w:rsidRDefault="00AD1BFD" w:rsidP="00C133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4DCBAF" w14:textId="03157E37" w:rsidR="00DC6FCB" w:rsidRPr="003B0A9D" w:rsidRDefault="00B96505" w:rsidP="003D232E">
      <w:pPr>
        <w:pStyle w:val="Sarakstarindkop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0A9D">
        <w:rPr>
          <w:rFonts w:ascii="Times New Roman" w:hAnsi="Times New Roman" w:cs="Times New Roman"/>
          <w:sz w:val="26"/>
          <w:szCs w:val="26"/>
        </w:rPr>
        <w:t xml:space="preserve">Kultūrvēsturiskā </w:t>
      </w:r>
      <w:r w:rsidR="00FB4396" w:rsidRPr="003B0A9D">
        <w:rPr>
          <w:rFonts w:ascii="Times New Roman" w:hAnsi="Times New Roman" w:cs="Times New Roman"/>
          <w:sz w:val="26"/>
          <w:szCs w:val="26"/>
        </w:rPr>
        <w:t xml:space="preserve">vērtība </w:t>
      </w:r>
      <w:r w:rsidR="00F33268" w:rsidRPr="003B0A9D">
        <w:rPr>
          <w:rFonts w:ascii="Times New Roman" w:hAnsi="Times New Roman" w:cs="Times New Roman"/>
          <w:sz w:val="26"/>
          <w:szCs w:val="26"/>
        </w:rPr>
        <w:t xml:space="preserve">Mantojuma objektam </w:t>
      </w:r>
      <w:r w:rsidR="00FB4396" w:rsidRPr="003B0A9D">
        <w:rPr>
          <w:rFonts w:ascii="Times New Roman" w:hAnsi="Times New Roman" w:cs="Times New Roman"/>
          <w:sz w:val="26"/>
          <w:szCs w:val="26"/>
        </w:rPr>
        <w:t xml:space="preserve">tiek </w:t>
      </w:r>
      <w:r w:rsidR="00F33268" w:rsidRPr="003B0A9D">
        <w:rPr>
          <w:rFonts w:ascii="Times New Roman" w:hAnsi="Times New Roman" w:cs="Times New Roman"/>
          <w:sz w:val="26"/>
          <w:szCs w:val="26"/>
        </w:rPr>
        <w:t>noteikta</w:t>
      </w:r>
      <w:r w:rsidRPr="003B0A9D">
        <w:rPr>
          <w:rFonts w:ascii="Times New Roman" w:hAnsi="Times New Roman" w:cs="Times New Roman"/>
          <w:sz w:val="26"/>
          <w:szCs w:val="26"/>
        </w:rPr>
        <w:t>,</w:t>
      </w:r>
      <w:r w:rsidR="00FB4396" w:rsidRPr="003B0A9D">
        <w:rPr>
          <w:rFonts w:ascii="Times New Roman" w:hAnsi="Times New Roman" w:cs="Times New Roman"/>
          <w:sz w:val="26"/>
          <w:szCs w:val="26"/>
        </w:rPr>
        <w:t xml:space="preserve"> </w:t>
      </w:r>
      <w:r w:rsidR="00B164F3" w:rsidRPr="003B0A9D">
        <w:rPr>
          <w:rFonts w:ascii="Times New Roman" w:hAnsi="Times New Roman" w:cs="Times New Roman"/>
          <w:sz w:val="26"/>
          <w:szCs w:val="26"/>
        </w:rPr>
        <w:t>pamatojoties uz</w:t>
      </w:r>
      <w:r w:rsidR="00FB4396" w:rsidRPr="003B0A9D">
        <w:rPr>
          <w:rFonts w:ascii="Times New Roman" w:hAnsi="Times New Roman" w:cs="Times New Roman"/>
          <w:sz w:val="26"/>
          <w:szCs w:val="26"/>
        </w:rPr>
        <w:t>:</w:t>
      </w:r>
    </w:p>
    <w:p w14:paraId="408E710F" w14:textId="77777777" w:rsidR="009139C6" w:rsidRPr="003B0A9D" w:rsidRDefault="009139C6" w:rsidP="009139C6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0A9D">
        <w:rPr>
          <w:rFonts w:ascii="Times New Roman" w:hAnsi="Times New Roman" w:cs="Times New Roman"/>
          <w:sz w:val="26"/>
          <w:szCs w:val="26"/>
        </w:rPr>
        <w:t>Departamentā saņemtu Mantojuma objekta īpašnieka vai tiesiskā valdītāja iesniegumu ar lūgumu noteikt Mantojuma objekta kultūrvēsturisko vērtību un saņemt īpašos noteikumus;</w:t>
      </w:r>
    </w:p>
    <w:p w14:paraId="0A90EF59" w14:textId="35F08F38" w:rsidR="00DC6FCB" w:rsidRPr="003B0A9D" w:rsidRDefault="00FB4396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0A9D">
        <w:rPr>
          <w:rFonts w:ascii="Times New Roman" w:hAnsi="Times New Roman" w:cs="Times New Roman"/>
          <w:sz w:val="26"/>
          <w:szCs w:val="26"/>
        </w:rPr>
        <w:t>Departamentā saņemt</w:t>
      </w:r>
      <w:r w:rsidR="00B164F3" w:rsidRPr="003B0A9D">
        <w:rPr>
          <w:rFonts w:ascii="Times New Roman" w:hAnsi="Times New Roman" w:cs="Times New Roman"/>
          <w:sz w:val="26"/>
          <w:szCs w:val="26"/>
        </w:rPr>
        <w:t>u</w:t>
      </w:r>
      <w:r w:rsidRPr="003B0A9D">
        <w:rPr>
          <w:rFonts w:ascii="Times New Roman" w:hAnsi="Times New Roman" w:cs="Times New Roman"/>
          <w:sz w:val="26"/>
          <w:szCs w:val="26"/>
        </w:rPr>
        <w:t xml:space="preserve"> būvniecības iecer</w:t>
      </w:r>
      <w:r w:rsidR="00B164F3" w:rsidRPr="003B0A9D">
        <w:rPr>
          <w:rFonts w:ascii="Times New Roman" w:hAnsi="Times New Roman" w:cs="Times New Roman"/>
          <w:sz w:val="26"/>
          <w:szCs w:val="26"/>
        </w:rPr>
        <w:t>i</w:t>
      </w:r>
      <w:r w:rsidR="00D90EE3" w:rsidRPr="003B0A9D">
        <w:rPr>
          <w:rFonts w:ascii="Times New Roman" w:hAnsi="Times New Roman" w:cs="Times New Roman"/>
          <w:sz w:val="26"/>
          <w:szCs w:val="26"/>
        </w:rPr>
        <w:t xml:space="preserve"> </w:t>
      </w:r>
      <w:r w:rsidRPr="003B0A9D">
        <w:rPr>
          <w:rFonts w:ascii="Times New Roman" w:hAnsi="Times New Roman" w:cs="Times New Roman"/>
          <w:sz w:val="26"/>
          <w:szCs w:val="26"/>
        </w:rPr>
        <w:t>Mantojuma objekt</w:t>
      </w:r>
      <w:r w:rsidR="00D90EE3" w:rsidRPr="003B0A9D">
        <w:rPr>
          <w:rFonts w:ascii="Times New Roman" w:hAnsi="Times New Roman" w:cs="Times New Roman"/>
          <w:sz w:val="26"/>
          <w:szCs w:val="26"/>
        </w:rPr>
        <w:t>am</w:t>
      </w:r>
      <w:r w:rsidR="00567F76" w:rsidRPr="003B0A9D">
        <w:rPr>
          <w:rFonts w:ascii="Times New Roman" w:hAnsi="Times New Roman" w:cs="Times New Roman"/>
          <w:sz w:val="26"/>
          <w:szCs w:val="26"/>
        </w:rPr>
        <w:t xml:space="preserve">, </w:t>
      </w:r>
      <w:r w:rsidR="00DE3267" w:rsidRPr="003B0A9D">
        <w:rPr>
          <w:rFonts w:ascii="Times New Roman" w:hAnsi="Times New Roman" w:cs="Times New Roman"/>
          <w:sz w:val="26"/>
          <w:szCs w:val="26"/>
        </w:rPr>
        <w:t>kuram</w:t>
      </w:r>
      <w:r w:rsidR="00AD1BFD" w:rsidRPr="003B0A9D">
        <w:rPr>
          <w:rFonts w:ascii="Times New Roman" w:hAnsi="Times New Roman" w:cs="Times New Roman"/>
          <w:sz w:val="26"/>
          <w:szCs w:val="26"/>
        </w:rPr>
        <w:t xml:space="preserve"> iepriekš nav</w:t>
      </w:r>
      <w:r w:rsidR="00F33268" w:rsidRPr="003B0A9D">
        <w:rPr>
          <w:rFonts w:ascii="Times New Roman" w:hAnsi="Times New Roman" w:cs="Times New Roman"/>
          <w:sz w:val="26"/>
          <w:szCs w:val="26"/>
        </w:rPr>
        <w:t xml:space="preserve"> bijis</w:t>
      </w:r>
      <w:r w:rsidR="00AD1BFD" w:rsidRPr="003B0A9D">
        <w:rPr>
          <w:rFonts w:ascii="Times New Roman" w:hAnsi="Times New Roman" w:cs="Times New Roman"/>
          <w:sz w:val="26"/>
          <w:szCs w:val="26"/>
        </w:rPr>
        <w:t xml:space="preserve"> noteikts kultūrvēsturiskā</w:t>
      </w:r>
      <w:r w:rsidR="00C133DC" w:rsidRPr="003B0A9D">
        <w:rPr>
          <w:rFonts w:ascii="Times New Roman" w:hAnsi="Times New Roman" w:cs="Times New Roman"/>
          <w:sz w:val="26"/>
          <w:szCs w:val="26"/>
        </w:rPr>
        <w:t>s vērtības līmenis</w:t>
      </w:r>
      <w:r w:rsidR="00B96505" w:rsidRPr="003B0A9D">
        <w:rPr>
          <w:rFonts w:ascii="Times New Roman" w:hAnsi="Times New Roman" w:cs="Times New Roman"/>
          <w:sz w:val="26"/>
          <w:szCs w:val="26"/>
        </w:rPr>
        <w:t>;</w:t>
      </w:r>
    </w:p>
    <w:p w14:paraId="4A05EA90" w14:textId="0DEFADA9" w:rsidR="003B0A9D" w:rsidRPr="003B0A9D" w:rsidRDefault="003B0A9D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Departamentā saņemtu</w:t>
      </w:r>
      <w:r w:rsidR="009139C6">
        <w:rPr>
          <w:rFonts w:ascii="Times New Roman" w:hAnsi="Times New Roman" w:cs="Times New Roman"/>
          <w:sz w:val="26"/>
          <w:szCs w:val="26"/>
        </w:rPr>
        <w:t xml:space="preserve"> iesniegumu par koku ciršanu</w:t>
      </w:r>
      <w:r w:rsidR="008A3979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7301D546" w14:textId="63F901E5" w:rsidR="00DC6FCB" w:rsidRPr="003B0A9D" w:rsidRDefault="00DC6FCB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0A9D">
        <w:rPr>
          <w:rFonts w:ascii="Times New Roman" w:hAnsi="Times New Roman" w:cs="Times New Roman"/>
          <w:sz w:val="26"/>
          <w:szCs w:val="26"/>
        </w:rPr>
        <w:t>Departamenta plānveida rīcību.</w:t>
      </w:r>
    </w:p>
    <w:p w14:paraId="0D82256D" w14:textId="77777777" w:rsidR="00AD1BFD" w:rsidRPr="00AD1BFD" w:rsidRDefault="00AD1BFD" w:rsidP="00AD1BF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90EA7D" w14:textId="04651A1F" w:rsidR="006D1860" w:rsidRPr="00286B41" w:rsidRDefault="00DC6FCB" w:rsidP="003D232E">
      <w:pPr>
        <w:pStyle w:val="Sarakstarindkop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FD">
        <w:rPr>
          <w:rFonts w:ascii="Times New Roman" w:hAnsi="Times New Roman" w:cs="Times New Roman"/>
          <w:sz w:val="26"/>
          <w:szCs w:val="26"/>
        </w:rPr>
        <w:t xml:space="preserve">Iesniedzējs noteikumu </w:t>
      </w:r>
      <w:r w:rsidR="00567F76">
        <w:rPr>
          <w:rFonts w:ascii="Times New Roman" w:hAnsi="Times New Roman" w:cs="Times New Roman"/>
          <w:sz w:val="26"/>
          <w:szCs w:val="26"/>
        </w:rPr>
        <w:t>6</w:t>
      </w:r>
      <w:r w:rsidRPr="00AD1BFD">
        <w:rPr>
          <w:rFonts w:ascii="Times New Roman" w:hAnsi="Times New Roman" w:cs="Times New Roman"/>
          <w:sz w:val="26"/>
          <w:szCs w:val="26"/>
        </w:rPr>
        <w:t>.1.</w:t>
      </w:r>
      <w:r w:rsidR="008A3979">
        <w:rPr>
          <w:rFonts w:ascii="Times New Roman" w:hAnsi="Times New Roman" w:cs="Times New Roman"/>
          <w:sz w:val="26"/>
          <w:szCs w:val="26"/>
        </w:rPr>
        <w:t xml:space="preserve">, </w:t>
      </w:r>
      <w:r w:rsidR="00567F76">
        <w:rPr>
          <w:rFonts w:ascii="Times New Roman" w:hAnsi="Times New Roman" w:cs="Times New Roman"/>
          <w:sz w:val="26"/>
          <w:szCs w:val="26"/>
        </w:rPr>
        <w:t>6</w:t>
      </w:r>
      <w:r w:rsidRPr="00AD1BFD">
        <w:rPr>
          <w:rFonts w:ascii="Times New Roman" w:hAnsi="Times New Roman" w:cs="Times New Roman"/>
          <w:sz w:val="26"/>
          <w:szCs w:val="26"/>
        </w:rPr>
        <w:t>.2.</w:t>
      </w:r>
      <w:r w:rsidR="008A3979">
        <w:rPr>
          <w:rFonts w:ascii="Times New Roman" w:hAnsi="Times New Roman" w:cs="Times New Roman"/>
          <w:sz w:val="26"/>
          <w:szCs w:val="26"/>
        </w:rPr>
        <w:t>, 6.3.</w:t>
      </w:r>
      <w:r w:rsidRPr="00AD1BFD">
        <w:rPr>
          <w:rFonts w:ascii="Times New Roman" w:hAnsi="Times New Roman" w:cs="Times New Roman"/>
          <w:sz w:val="26"/>
          <w:szCs w:val="26"/>
        </w:rPr>
        <w:t xml:space="preserve"> apakšpunktā noteiktajos gadījumos </w:t>
      </w:r>
      <w:r w:rsidR="009E429D">
        <w:rPr>
          <w:rFonts w:ascii="Times New Roman" w:hAnsi="Times New Roman" w:cs="Times New Roman"/>
          <w:sz w:val="26"/>
          <w:szCs w:val="26"/>
        </w:rPr>
        <w:t xml:space="preserve">iesniegumam </w:t>
      </w:r>
      <w:r w:rsidRPr="00AD1BFD">
        <w:rPr>
          <w:rFonts w:ascii="Times New Roman" w:hAnsi="Times New Roman" w:cs="Times New Roman"/>
          <w:sz w:val="26"/>
          <w:szCs w:val="26"/>
        </w:rPr>
        <w:t xml:space="preserve">pievieno arhitektoniski māksliniecisko inventarizāciju vai </w:t>
      </w:r>
      <w:r w:rsidR="00F33268">
        <w:rPr>
          <w:rFonts w:ascii="Times New Roman" w:hAnsi="Times New Roman" w:cs="Times New Roman"/>
          <w:sz w:val="26"/>
          <w:szCs w:val="26"/>
        </w:rPr>
        <w:t xml:space="preserve">arī </w:t>
      </w:r>
      <w:r w:rsidRPr="00AD1BFD">
        <w:rPr>
          <w:rFonts w:ascii="Times New Roman" w:hAnsi="Times New Roman" w:cs="Times New Roman"/>
          <w:sz w:val="26"/>
          <w:szCs w:val="26"/>
        </w:rPr>
        <w:t>fotofiksāciju</w:t>
      </w:r>
      <w:r w:rsidR="00F33268">
        <w:rPr>
          <w:rFonts w:ascii="Times New Roman" w:hAnsi="Times New Roman" w:cs="Times New Roman"/>
          <w:sz w:val="26"/>
          <w:szCs w:val="26"/>
        </w:rPr>
        <w:t xml:space="preserve"> ar pamatojumu</w:t>
      </w:r>
      <w:r w:rsidRPr="00AD1BFD">
        <w:rPr>
          <w:rFonts w:ascii="Times New Roman" w:hAnsi="Times New Roman" w:cs="Times New Roman"/>
          <w:sz w:val="26"/>
          <w:szCs w:val="26"/>
        </w:rPr>
        <w:t>,</w:t>
      </w:r>
      <w:r w:rsidR="00F33268">
        <w:rPr>
          <w:rFonts w:ascii="Times New Roman" w:hAnsi="Times New Roman" w:cs="Times New Roman"/>
          <w:sz w:val="26"/>
          <w:szCs w:val="26"/>
        </w:rPr>
        <w:t xml:space="preserve"> </w:t>
      </w:r>
      <w:r w:rsidRPr="00AD1BFD">
        <w:rPr>
          <w:rFonts w:ascii="Times New Roman" w:hAnsi="Times New Roman" w:cs="Times New Roman"/>
          <w:sz w:val="26"/>
          <w:szCs w:val="26"/>
        </w:rPr>
        <w:t>kāpēc nav nepieciešama arhitektoniski māksliniecisk</w:t>
      </w:r>
      <w:r w:rsidR="005F0114" w:rsidRPr="00AD1BFD">
        <w:rPr>
          <w:rFonts w:ascii="Times New Roman" w:hAnsi="Times New Roman" w:cs="Times New Roman"/>
          <w:sz w:val="26"/>
          <w:szCs w:val="26"/>
        </w:rPr>
        <w:t>ā</w:t>
      </w:r>
      <w:r w:rsidRPr="00AD1BFD">
        <w:rPr>
          <w:rFonts w:ascii="Times New Roman" w:hAnsi="Times New Roman" w:cs="Times New Roman"/>
          <w:sz w:val="26"/>
          <w:szCs w:val="26"/>
        </w:rPr>
        <w:t xml:space="preserve"> inventarizācija</w:t>
      </w:r>
      <w:bookmarkStart w:id="5" w:name="_Hlk136869460"/>
      <w:r w:rsidR="006D1860">
        <w:rPr>
          <w:rFonts w:ascii="Times New Roman" w:hAnsi="Times New Roman" w:cs="Times New Roman"/>
          <w:sz w:val="26"/>
          <w:szCs w:val="26"/>
        </w:rPr>
        <w:t>, būves kadastrālās uzmērīšanas lietu</w:t>
      </w:r>
      <w:r w:rsidR="00567F76">
        <w:rPr>
          <w:rFonts w:ascii="Times New Roman" w:hAnsi="Times New Roman" w:cs="Times New Roman"/>
          <w:sz w:val="26"/>
          <w:szCs w:val="26"/>
        </w:rPr>
        <w:t xml:space="preserve"> </w:t>
      </w:r>
      <w:r w:rsidR="00567F76" w:rsidRPr="008C62C4">
        <w:rPr>
          <w:rFonts w:ascii="Times New Roman" w:hAnsi="Times New Roman" w:cs="Times New Roman"/>
          <w:sz w:val="26"/>
          <w:szCs w:val="26"/>
        </w:rPr>
        <w:t>un būves tehniskās apsekošanas atzinumu.</w:t>
      </w:r>
      <w:r w:rsidR="00286B41" w:rsidRPr="008C62C4">
        <w:rPr>
          <w:rFonts w:ascii="Times New Roman" w:hAnsi="Times New Roman" w:cs="Times New Roman"/>
          <w:sz w:val="26"/>
          <w:szCs w:val="26"/>
        </w:rPr>
        <w:t xml:space="preserve"> Arhitektoniski māksliniecisk</w:t>
      </w:r>
      <w:r w:rsidR="00F33268" w:rsidRPr="008C62C4">
        <w:rPr>
          <w:rFonts w:ascii="Times New Roman" w:hAnsi="Times New Roman" w:cs="Times New Roman"/>
          <w:sz w:val="26"/>
          <w:szCs w:val="26"/>
        </w:rPr>
        <w:t>aj</w:t>
      </w:r>
      <w:r w:rsidR="00286B41" w:rsidRPr="008C62C4">
        <w:rPr>
          <w:rFonts w:ascii="Times New Roman" w:hAnsi="Times New Roman" w:cs="Times New Roman"/>
          <w:sz w:val="26"/>
          <w:szCs w:val="26"/>
        </w:rPr>
        <w:t>ai inventarizācijai pievienojam</w:t>
      </w:r>
      <w:r w:rsidR="00D90EE3">
        <w:rPr>
          <w:rFonts w:ascii="Times New Roman" w:hAnsi="Times New Roman" w:cs="Times New Roman"/>
          <w:sz w:val="26"/>
          <w:szCs w:val="26"/>
        </w:rPr>
        <w:t>s</w:t>
      </w:r>
      <w:r w:rsidR="00286B41" w:rsidRPr="008C62C4">
        <w:rPr>
          <w:rFonts w:ascii="Times New Roman" w:hAnsi="Times New Roman" w:cs="Times New Roman"/>
          <w:sz w:val="26"/>
          <w:szCs w:val="26"/>
        </w:rPr>
        <w:t xml:space="preserve"> </w:t>
      </w:r>
      <w:r w:rsidR="00D90EE3">
        <w:rPr>
          <w:rFonts w:ascii="Times New Roman" w:hAnsi="Times New Roman" w:cs="Times New Roman"/>
          <w:sz w:val="26"/>
          <w:szCs w:val="26"/>
        </w:rPr>
        <w:t>apliecinājums</w:t>
      </w:r>
      <w:r w:rsidR="00286B41" w:rsidRPr="008C62C4">
        <w:rPr>
          <w:rFonts w:ascii="Times New Roman" w:hAnsi="Times New Roman" w:cs="Times New Roman"/>
          <w:sz w:val="26"/>
          <w:szCs w:val="26"/>
        </w:rPr>
        <w:t xml:space="preserve"> inventarizācijas veicēja kompetencei</w:t>
      </w:r>
      <w:r w:rsidR="00567F76" w:rsidRPr="008C62C4">
        <w:rPr>
          <w:rFonts w:ascii="Times New Roman" w:hAnsi="Times New Roman" w:cs="Times New Roman"/>
          <w:sz w:val="26"/>
          <w:szCs w:val="26"/>
        </w:rPr>
        <w:t xml:space="preserve"> (izglītību un profesionālo kvalifikāciju apliecinoši dokumenti, informācija par dalību līdzvērtīgu dokumentu izstrādē vai to izstrādes vadīšanā, rekomendācijas u.c.).</w:t>
      </w:r>
      <w:r w:rsidR="00567F76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8EED48E" w14:textId="482C3284" w:rsidR="00392DEB" w:rsidRPr="00392DEB" w:rsidRDefault="00392DEB" w:rsidP="00392DEB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6DA7FA" w14:textId="06C57945" w:rsidR="00D90EE3" w:rsidRPr="00D90EE3" w:rsidRDefault="00392DEB" w:rsidP="00D90EE3">
      <w:pPr>
        <w:pStyle w:val="Sarakstarindkop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EE3">
        <w:rPr>
          <w:rFonts w:ascii="Times New Roman" w:hAnsi="Times New Roman" w:cs="Times New Roman"/>
          <w:sz w:val="26"/>
          <w:szCs w:val="26"/>
        </w:rPr>
        <w:lastRenderedPageBreak/>
        <w:t>Departament</w:t>
      </w:r>
      <w:r w:rsidR="00F33268" w:rsidRPr="00D90EE3">
        <w:rPr>
          <w:rFonts w:ascii="Times New Roman" w:hAnsi="Times New Roman" w:cs="Times New Roman"/>
          <w:sz w:val="26"/>
          <w:szCs w:val="26"/>
        </w:rPr>
        <w:t>a speciālists</w:t>
      </w:r>
      <w:r w:rsidR="00567F76" w:rsidRPr="00D90EE3">
        <w:rPr>
          <w:rFonts w:ascii="Times New Roman" w:hAnsi="Times New Roman" w:cs="Times New Roman"/>
          <w:sz w:val="26"/>
          <w:szCs w:val="26"/>
        </w:rPr>
        <w:t xml:space="preserve"> </w:t>
      </w:r>
      <w:r w:rsidR="008C62C4" w:rsidRPr="00D90EE3">
        <w:rPr>
          <w:rFonts w:ascii="Times New Roman" w:hAnsi="Times New Roman" w:cs="Times New Roman"/>
          <w:sz w:val="26"/>
          <w:szCs w:val="26"/>
        </w:rPr>
        <w:t>sagatavo ziņojumu,</w:t>
      </w:r>
      <w:r w:rsidR="00D90EE3" w:rsidRPr="00D90EE3">
        <w:rPr>
          <w:rFonts w:ascii="Times New Roman" w:hAnsi="Times New Roman" w:cs="Times New Roman"/>
          <w:sz w:val="26"/>
          <w:szCs w:val="26"/>
        </w:rPr>
        <w:t xml:space="preserve"> pamatojoties uz </w:t>
      </w:r>
      <w:r w:rsidR="00D90EE3" w:rsidRPr="00D90E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6D75">
        <w:rPr>
          <w:rFonts w:ascii="Times New Roman" w:hAnsi="Times New Roman" w:cs="Times New Roman"/>
          <w:sz w:val="26"/>
          <w:szCs w:val="26"/>
        </w:rPr>
        <w:t>M</w:t>
      </w:r>
      <w:r w:rsidR="00D90EE3" w:rsidRPr="00D90EE3">
        <w:rPr>
          <w:rFonts w:ascii="Times New Roman" w:hAnsi="Times New Roman" w:cs="Times New Roman"/>
          <w:sz w:val="26"/>
          <w:szCs w:val="26"/>
        </w:rPr>
        <w:t>antojuma objekta arhitektoniski mākslinieciskās inventarizācijas secinājumiem un ieteikumiem vai fotofiksāciju,</w:t>
      </w:r>
      <w:r w:rsidR="00D90EE3" w:rsidRPr="00D90E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0EE3" w:rsidRPr="00D90EE3">
        <w:rPr>
          <w:rFonts w:ascii="Times New Roman" w:hAnsi="Times New Roman" w:cs="Times New Roman"/>
          <w:sz w:val="26"/>
          <w:szCs w:val="26"/>
        </w:rPr>
        <w:t>apsekošanas rezultātiem dabā, ja nav iegūta pietiekama informācija,</w:t>
      </w:r>
      <w:r w:rsidR="00D90EE3" w:rsidRPr="00D90EE3">
        <w:rPr>
          <w:rFonts w:ascii="Times New Roman" w:eastAsia="Times New Roman" w:hAnsi="Times New Roman" w:cs="Times New Roman"/>
          <w:sz w:val="26"/>
          <w:szCs w:val="26"/>
        </w:rPr>
        <w:t xml:space="preserve"> arhīva materiāliem un citiem dokumentiem. </w:t>
      </w:r>
      <w:r w:rsidR="00D90EE3" w:rsidRPr="00D90EE3">
        <w:rPr>
          <w:rFonts w:ascii="Times New Roman" w:hAnsi="Times New Roman" w:cs="Times New Roman"/>
          <w:sz w:val="26"/>
          <w:szCs w:val="26"/>
        </w:rPr>
        <w:t xml:space="preserve">Ziņojumā tiek atspoguļots </w:t>
      </w:r>
      <w:r w:rsidR="00D16D75">
        <w:rPr>
          <w:rFonts w:ascii="Times New Roman" w:hAnsi="Times New Roman" w:cs="Times New Roman"/>
          <w:sz w:val="26"/>
          <w:szCs w:val="26"/>
        </w:rPr>
        <w:t>M</w:t>
      </w:r>
      <w:r w:rsidR="00D90EE3" w:rsidRPr="00D90EE3">
        <w:rPr>
          <w:rFonts w:ascii="Times New Roman" w:hAnsi="Times New Roman" w:cs="Times New Roman"/>
          <w:sz w:val="26"/>
          <w:szCs w:val="26"/>
        </w:rPr>
        <w:t xml:space="preserve">antojuma objekta kultūrvēsturiskās vērtības veidojošo elementu kopsavilkums, kas pamato atbilstoša kultūrvēsturiskās vērtības līmeņa piešķiršanu. </w:t>
      </w:r>
    </w:p>
    <w:p w14:paraId="0F7D7C0F" w14:textId="77777777" w:rsidR="00AD1BFD" w:rsidRPr="00AD1BFD" w:rsidRDefault="00AD1BFD" w:rsidP="00AD1BF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BF6C50" w14:textId="70F920CE" w:rsidR="008B109E" w:rsidRPr="00AD1BFD" w:rsidRDefault="00FB4396" w:rsidP="003D232E">
      <w:pPr>
        <w:pStyle w:val="Sarakstarindkop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FD">
        <w:rPr>
          <w:rFonts w:ascii="Times New Roman" w:hAnsi="Times New Roman" w:cs="Times New Roman"/>
          <w:sz w:val="26"/>
          <w:szCs w:val="26"/>
        </w:rPr>
        <w:t xml:space="preserve">Mantojuma objekta </w:t>
      </w:r>
      <w:r w:rsidR="00B96505" w:rsidRPr="00AD1BFD">
        <w:rPr>
          <w:rFonts w:ascii="Times New Roman" w:hAnsi="Times New Roman" w:cs="Times New Roman"/>
          <w:sz w:val="26"/>
          <w:szCs w:val="26"/>
        </w:rPr>
        <w:t xml:space="preserve">kultūrvēsturiskās </w:t>
      </w:r>
      <w:r w:rsidRPr="00AD1BFD">
        <w:rPr>
          <w:rFonts w:ascii="Times New Roman" w:hAnsi="Times New Roman" w:cs="Times New Roman"/>
          <w:sz w:val="26"/>
          <w:szCs w:val="26"/>
        </w:rPr>
        <w:t xml:space="preserve">vērtības </w:t>
      </w:r>
      <w:r w:rsidR="00B96505" w:rsidRPr="00AD1BFD">
        <w:rPr>
          <w:rFonts w:ascii="Times New Roman" w:hAnsi="Times New Roman" w:cs="Times New Roman"/>
          <w:sz w:val="26"/>
          <w:szCs w:val="26"/>
        </w:rPr>
        <w:t>izvērtēšanu</w:t>
      </w:r>
      <w:r w:rsidR="00034D2A">
        <w:rPr>
          <w:rFonts w:ascii="Times New Roman" w:hAnsi="Times New Roman" w:cs="Times New Roman"/>
          <w:sz w:val="26"/>
          <w:szCs w:val="26"/>
        </w:rPr>
        <w:t xml:space="preserve">, pamatojoties uz noteikumu </w:t>
      </w:r>
      <w:r w:rsidR="002E4B72">
        <w:rPr>
          <w:rFonts w:ascii="Times New Roman" w:hAnsi="Times New Roman" w:cs="Times New Roman"/>
          <w:sz w:val="26"/>
          <w:szCs w:val="26"/>
        </w:rPr>
        <w:t>8</w:t>
      </w:r>
      <w:r w:rsidR="00034D2A">
        <w:rPr>
          <w:rFonts w:ascii="Times New Roman" w:hAnsi="Times New Roman" w:cs="Times New Roman"/>
          <w:sz w:val="26"/>
          <w:szCs w:val="26"/>
        </w:rPr>
        <w:t>. punktā minēto ziņojumu,</w:t>
      </w:r>
      <w:r w:rsidRPr="00AD1BFD">
        <w:rPr>
          <w:rFonts w:ascii="Times New Roman" w:hAnsi="Times New Roman" w:cs="Times New Roman"/>
          <w:sz w:val="26"/>
          <w:szCs w:val="26"/>
        </w:rPr>
        <w:t xml:space="preserve"> veic</w:t>
      </w:r>
      <w:r w:rsidR="00B96505" w:rsidRPr="00AD1BFD">
        <w:rPr>
          <w:rFonts w:ascii="Times New Roman" w:hAnsi="Times New Roman" w:cs="Times New Roman"/>
          <w:sz w:val="26"/>
          <w:szCs w:val="26"/>
        </w:rPr>
        <w:t xml:space="preserve"> Kultūrvēsturiskās vērtības noteikšanas </w:t>
      </w:r>
      <w:r w:rsidR="009E429D">
        <w:rPr>
          <w:rFonts w:ascii="Times New Roman" w:hAnsi="Times New Roman" w:cs="Times New Roman"/>
          <w:sz w:val="26"/>
          <w:szCs w:val="26"/>
        </w:rPr>
        <w:t xml:space="preserve">ekspertu </w:t>
      </w:r>
      <w:r w:rsidR="00B96505" w:rsidRPr="00AD1BFD">
        <w:rPr>
          <w:rFonts w:ascii="Times New Roman" w:hAnsi="Times New Roman" w:cs="Times New Roman"/>
          <w:sz w:val="26"/>
          <w:szCs w:val="26"/>
        </w:rPr>
        <w:t>komisija</w:t>
      </w:r>
      <w:r w:rsidR="00DC6FCB" w:rsidRPr="00AD1BFD">
        <w:rPr>
          <w:rFonts w:ascii="Times New Roman" w:hAnsi="Times New Roman" w:cs="Times New Roman"/>
          <w:sz w:val="26"/>
          <w:szCs w:val="26"/>
        </w:rPr>
        <w:t xml:space="preserve"> (turpmāk – Komisija)</w:t>
      </w:r>
      <w:r w:rsidR="00B64652">
        <w:rPr>
          <w:rFonts w:ascii="Times New Roman" w:hAnsi="Times New Roman" w:cs="Times New Roman"/>
          <w:sz w:val="26"/>
          <w:szCs w:val="26"/>
        </w:rPr>
        <w:t>.</w:t>
      </w:r>
    </w:p>
    <w:p w14:paraId="7CD2B6C7" w14:textId="77777777" w:rsidR="00AD1BFD" w:rsidRPr="00AD1BFD" w:rsidRDefault="00AD1BFD" w:rsidP="00AD1BF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09ED80A" w14:textId="77777777" w:rsidR="008B109E" w:rsidRPr="00AD1BFD" w:rsidRDefault="007C16F9" w:rsidP="003D232E">
      <w:pPr>
        <w:pStyle w:val="Sarakstarindkop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FD">
        <w:rPr>
          <w:rFonts w:ascii="Times New Roman" w:hAnsi="Times New Roman" w:cs="Times New Roman"/>
          <w:sz w:val="26"/>
          <w:szCs w:val="26"/>
        </w:rPr>
        <w:t xml:space="preserve">Mantojuma objekta kultūrvēsturiskā vērtība tiek </w:t>
      </w:r>
      <w:r w:rsidR="005F0114" w:rsidRPr="00AD1BFD">
        <w:rPr>
          <w:rFonts w:ascii="Times New Roman" w:hAnsi="Times New Roman" w:cs="Times New Roman"/>
          <w:sz w:val="26"/>
          <w:szCs w:val="26"/>
        </w:rPr>
        <w:t>noteikta</w:t>
      </w:r>
      <w:r w:rsidRPr="00AD1BFD">
        <w:rPr>
          <w:rFonts w:ascii="Times New Roman" w:hAnsi="Times New Roman" w:cs="Times New Roman"/>
          <w:sz w:val="26"/>
          <w:szCs w:val="26"/>
        </w:rPr>
        <w:t>, ņemot vērā šādus kritērijus:</w:t>
      </w:r>
    </w:p>
    <w:p w14:paraId="3D355D8F" w14:textId="3C0ADA51" w:rsidR="000A2627" w:rsidRPr="000A2627" w:rsidRDefault="007C16F9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FD">
        <w:rPr>
          <w:rFonts w:ascii="Times New Roman" w:hAnsi="Times New Roman" w:cs="Times New Roman"/>
          <w:sz w:val="26"/>
          <w:szCs w:val="26"/>
        </w:rPr>
        <w:t>būvniecības periods (vecums)</w:t>
      </w:r>
      <w:r w:rsidR="000A2627">
        <w:rPr>
          <w:rFonts w:ascii="Times New Roman" w:hAnsi="Times New Roman" w:cs="Times New Roman"/>
          <w:sz w:val="26"/>
          <w:szCs w:val="26"/>
        </w:rPr>
        <w:t xml:space="preserve"> un stilistika;</w:t>
      </w:r>
    </w:p>
    <w:p w14:paraId="339EFE6F" w14:textId="3BD384D1" w:rsidR="008B109E" w:rsidRPr="00AD1BFD" w:rsidRDefault="007C16F9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FD">
        <w:rPr>
          <w:rFonts w:ascii="Times New Roman" w:hAnsi="Times New Roman" w:cs="Times New Roman"/>
          <w:sz w:val="26"/>
          <w:szCs w:val="26"/>
        </w:rPr>
        <w:t>autorība;</w:t>
      </w:r>
    </w:p>
    <w:p w14:paraId="2FD379ED" w14:textId="46D0772B" w:rsidR="008B109E" w:rsidRPr="008C62C4" w:rsidRDefault="007C16F9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62C4">
        <w:rPr>
          <w:rFonts w:ascii="Times New Roman" w:hAnsi="Times New Roman" w:cs="Times New Roman"/>
          <w:sz w:val="26"/>
          <w:szCs w:val="26"/>
        </w:rPr>
        <w:t xml:space="preserve">arhitektoniskā un </w:t>
      </w:r>
      <w:r w:rsidR="000A2627">
        <w:rPr>
          <w:rFonts w:ascii="Times New Roman" w:hAnsi="Times New Roman" w:cs="Times New Roman"/>
          <w:sz w:val="26"/>
          <w:szCs w:val="26"/>
        </w:rPr>
        <w:t>mākslinieciskā</w:t>
      </w:r>
      <w:r w:rsidRPr="008C62C4">
        <w:rPr>
          <w:rFonts w:ascii="Times New Roman" w:hAnsi="Times New Roman" w:cs="Times New Roman"/>
          <w:sz w:val="26"/>
          <w:szCs w:val="26"/>
        </w:rPr>
        <w:t xml:space="preserve"> </w:t>
      </w:r>
      <w:r w:rsidR="005E33A5" w:rsidRPr="008C62C4">
        <w:rPr>
          <w:rFonts w:ascii="Times New Roman" w:hAnsi="Times New Roman" w:cs="Times New Roman"/>
          <w:sz w:val="26"/>
          <w:szCs w:val="26"/>
        </w:rPr>
        <w:t>unikalitāte</w:t>
      </w:r>
      <w:r w:rsidRPr="008C62C4">
        <w:rPr>
          <w:rFonts w:ascii="Times New Roman" w:hAnsi="Times New Roman" w:cs="Times New Roman"/>
          <w:sz w:val="26"/>
          <w:szCs w:val="26"/>
        </w:rPr>
        <w:t>, atbilstība konkrēt</w:t>
      </w:r>
      <w:r w:rsidR="000A2627">
        <w:rPr>
          <w:rFonts w:ascii="Times New Roman" w:hAnsi="Times New Roman" w:cs="Times New Roman"/>
          <w:sz w:val="26"/>
          <w:szCs w:val="26"/>
        </w:rPr>
        <w:t>ā</w:t>
      </w:r>
      <w:r w:rsidRPr="008C62C4">
        <w:rPr>
          <w:rFonts w:ascii="Times New Roman" w:hAnsi="Times New Roman" w:cs="Times New Roman"/>
          <w:sz w:val="26"/>
          <w:szCs w:val="26"/>
        </w:rPr>
        <w:t xml:space="preserve"> stila</w:t>
      </w:r>
      <w:r w:rsidR="000A2627">
        <w:rPr>
          <w:rFonts w:ascii="Times New Roman" w:hAnsi="Times New Roman" w:cs="Times New Roman"/>
          <w:sz w:val="26"/>
          <w:szCs w:val="26"/>
        </w:rPr>
        <w:t xml:space="preserve"> iezīmēm, stilistiskā tīrība</w:t>
      </w:r>
      <w:r w:rsidR="008B109E" w:rsidRPr="008C62C4">
        <w:rPr>
          <w:rFonts w:ascii="Times New Roman" w:hAnsi="Times New Roman" w:cs="Times New Roman"/>
          <w:sz w:val="26"/>
          <w:szCs w:val="26"/>
        </w:rPr>
        <w:t>;</w:t>
      </w:r>
    </w:p>
    <w:p w14:paraId="6B4661F3" w14:textId="77777777" w:rsidR="002E4B72" w:rsidRPr="008C62C4" w:rsidRDefault="002E4B72" w:rsidP="002E4B72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62C4">
        <w:rPr>
          <w:rFonts w:ascii="Times New Roman" w:hAnsi="Times New Roman" w:cs="Times New Roman"/>
          <w:sz w:val="26"/>
          <w:szCs w:val="26"/>
        </w:rPr>
        <w:t xml:space="preserve">oriģinālās substances saglabātības pakāpe; </w:t>
      </w:r>
    </w:p>
    <w:p w14:paraId="490DECA4" w14:textId="00927104" w:rsidR="002E4B72" w:rsidRPr="008C62C4" w:rsidRDefault="000A2627" w:rsidP="002E4B72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kultūrvēsturiskā, </w:t>
      </w:r>
      <w:r w:rsidR="002E4B72" w:rsidRPr="008C62C4">
        <w:rPr>
          <w:rFonts w:ascii="Times New Roman" w:hAnsi="Times New Roman" w:cs="Times New Roman"/>
          <w:sz w:val="26"/>
          <w:szCs w:val="26"/>
        </w:rPr>
        <w:t>sabiedriskā un sociālā vērtība;</w:t>
      </w:r>
    </w:p>
    <w:p w14:paraId="1AA8F288" w14:textId="0B64F01D" w:rsidR="008B109E" w:rsidRPr="008C62C4" w:rsidRDefault="000A2627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pilsētbūvnieciskā iederība</w:t>
      </w:r>
      <w:r w:rsidR="007C16F9" w:rsidRPr="008C62C4">
        <w:rPr>
          <w:rFonts w:ascii="Times New Roman" w:hAnsi="Times New Roman" w:cs="Times New Roman"/>
          <w:sz w:val="26"/>
          <w:szCs w:val="26"/>
        </w:rPr>
        <w:t>;</w:t>
      </w:r>
    </w:p>
    <w:p w14:paraId="263B9C5C" w14:textId="0B297674" w:rsidR="008B109E" w:rsidRPr="008C62C4" w:rsidRDefault="007C16F9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62C4">
        <w:rPr>
          <w:rFonts w:ascii="Times New Roman" w:hAnsi="Times New Roman" w:cs="Times New Roman"/>
          <w:sz w:val="26"/>
          <w:szCs w:val="26"/>
        </w:rPr>
        <w:t>tehniskais stāvoklis</w:t>
      </w:r>
      <w:r w:rsidR="00DC6FCB" w:rsidRPr="008C62C4">
        <w:rPr>
          <w:rFonts w:ascii="Times New Roman" w:hAnsi="Times New Roman" w:cs="Times New Roman"/>
          <w:sz w:val="26"/>
          <w:szCs w:val="26"/>
        </w:rPr>
        <w:t>.</w:t>
      </w:r>
    </w:p>
    <w:p w14:paraId="50B206B9" w14:textId="77777777" w:rsidR="00AD1BFD" w:rsidRPr="00AD1BFD" w:rsidRDefault="00AD1BFD" w:rsidP="00AD1BFD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3610D53" w14:textId="52DFC19F" w:rsidR="00C133DC" w:rsidRPr="000A2627" w:rsidRDefault="000A2627" w:rsidP="000A2627">
      <w:pPr>
        <w:pStyle w:val="Sarakstarindkopa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A2627">
        <w:rPr>
          <w:rFonts w:ascii="Times New Roman" w:hAnsi="Times New Roman" w:cs="Times New Roman"/>
          <w:sz w:val="26"/>
          <w:szCs w:val="26"/>
        </w:rPr>
        <w:t>Pamatojoties uz Komisijas novērtējumu, Departaments izdod lēmumu par Mantojuma objekta kultūrvēsturisko vērtību, kurā tiek noteikts:</w:t>
      </w:r>
    </w:p>
    <w:p w14:paraId="16EBE0CA" w14:textId="0ABBCA95" w:rsidR="008B109E" w:rsidRPr="00AD1BFD" w:rsidRDefault="00AD27FE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FD">
        <w:rPr>
          <w:rFonts w:ascii="Times New Roman" w:hAnsi="Times New Roman" w:cs="Times New Roman"/>
          <w:sz w:val="26"/>
          <w:szCs w:val="26"/>
        </w:rPr>
        <w:t>Mantojuma o</w:t>
      </w:r>
      <w:r w:rsidR="004F49C5" w:rsidRPr="00AD1BFD">
        <w:rPr>
          <w:rFonts w:ascii="Times New Roman" w:hAnsi="Times New Roman" w:cs="Times New Roman"/>
          <w:sz w:val="26"/>
          <w:szCs w:val="26"/>
        </w:rPr>
        <w:t>bjekta kultūrvēsturiskās vērtības līmenis</w:t>
      </w:r>
      <w:r w:rsidR="008B109E" w:rsidRPr="00AD1BFD">
        <w:rPr>
          <w:rFonts w:ascii="Times New Roman" w:hAnsi="Times New Roman" w:cs="Times New Roman"/>
          <w:sz w:val="26"/>
          <w:szCs w:val="26"/>
        </w:rPr>
        <w:t>;</w:t>
      </w:r>
    </w:p>
    <w:p w14:paraId="1CC3ED22" w14:textId="77777777" w:rsidR="008B109E" w:rsidRPr="00AD1BFD" w:rsidRDefault="004F49C5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FD">
        <w:rPr>
          <w:rFonts w:ascii="Times New Roman" w:hAnsi="Times New Roman" w:cs="Times New Roman"/>
          <w:sz w:val="26"/>
          <w:szCs w:val="26"/>
        </w:rPr>
        <w:t>kultūrvēsturiskās vērtības līmeņa pamatojums;</w:t>
      </w:r>
    </w:p>
    <w:p w14:paraId="0A3AE95A" w14:textId="77777777" w:rsidR="008B109E" w:rsidRPr="00AD1BFD" w:rsidRDefault="00AD27FE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FD">
        <w:rPr>
          <w:rFonts w:ascii="Times New Roman" w:hAnsi="Times New Roman" w:cs="Times New Roman"/>
          <w:sz w:val="26"/>
          <w:szCs w:val="26"/>
        </w:rPr>
        <w:t>kultūrvēsturisko vērtību veidojošie elementi</w:t>
      </w:r>
      <w:r w:rsidR="008B109E" w:rsidRPr="00AD1BFD">
        <w:rPr>
          <w:rFonts w:ascii="Times New Roman" w:hAnsi="Times New Roman" w:cs="Times New Roman"/>
          <w:sz w:val="26"/>
          <w:szCs w:val="26"/>
        </w:rPr>
        <w:t>;</w:t>
      </w:r>
    </w:p>
    <w:p w14:paraId="012208F7" w14:textId="1116E62F" w:rsidR="00AD27FE" w:rsidRPr="00AD1BFD" w:rsidRDefault="00AD27FE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FD">
        <w:rPr>
          <w:rFonts w:ascii="Times New Roman" w:hAnsi="Times New Roman" w:cs="Times New Roman"/>
          <w:sz w:val="26"/>
          <w:szCs w:val="26"/>
        </w:rPr>
        <w:t>Mantojuma objekta saglabājamās vērtības, ja tādas ir;</w:t>
      </w:r>
    </w:p>
    <w:p w14:paraId="5AE5F36F" w14:textId="16158ACF" w:rsidR="0018450E" w:rsidRPr="0018450E" w:rsidRDefault="008B109E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FD">
        <w:rPr>
          <w:rFonts w:ascii="Times New Roman" w:hAnsi="Times New Roman" w:cs="Times New Roman"/>
          <w:sz w:val="26"/>
          <w:szCs w:val="26"/>
        </w:rPr>
        <w:t>vispārīgas prasības</w:t>
      </w:r>
      <w:r w:rsidR="00470C34" w:rsidRPr="00AD1BFD">
        <w:rPr>
          <w:rFonts w:ascii="Times New Roman" w:hAnsi="Times New Roman" w:cs="Times New Roman"/>
          <w:sz w:val="26"/>
          <w:szCs w:val="26"/>
        </w:rPr>
        <w:t xml:space="preserve"> rīcībai ar </w:t>
      </w:r>
      <w:r w:rsidRPr="00AD1BFD">
        <w:rPr>
          <w:rFonts w:ascii="Times New Roman" w:hAnsi="Times New Roman" w:cs="Times New Roman"/>
          <w:sz w:val="26"/>
          <w:szCs w:val="26"/>
        </w:rPr>
        <w:t>Mantojuma objekt</w:t>
      </w:r>
      <w:r w:rsidR="00470C34" w:rsidRPr="00AD1BFD">
        <w:rPr>
          <w:rFonts w:ascii="Times New Roman" w:hAnsi="Times New Roman" w:cs="Times New Roman"/>
          <w:sz w:val="26"/>
          <w:szCs w:val="26"/>
        </w:rPr>
        <w:t>u</w:t>
      </w:r>
      <w:r w:rsidRPr="00AD1BF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C64CF9A" w14:textId="5AC1B3B7" w:rsidR="000A2627" w:rsidRPr="000A2627" w:rsidRDefault="0018450E" w:rsidP="005C6FEB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627">
        <w:rPr>
          <w:rFonts w:ascii="Times New Roman" w:hAnsi="Times New Roman" w:cs="Times New Roman"/>
          <w:sz w:val="26"/>
          <w:szCs w:val="26"/>
        </w:rPr>
        <w:t>b</w:t>
      </w:r>
      <w:r w:rsidR="008B109E" w:rsidRPr="000A2627">
        <w:rPr>
          <w:rFonts w:ascii="Times New Roman" w:hAnsi="Times New Roman" w:cs="Times New Roman"/>
          <w:sz w:val="26"/>
          <w:szCs w:val="26"/>
        </w:rPr>
        <w:t>ūvniecības ieceres iesniegšanas gadījumā – konkrētas prasības ieceres realizēšanai</w:t>
      </w:r>
      <w:r w:rsidR="000A2627" w:rsidRPr="000A2627">
        <w:rPr>
          <w:rFonts w:ascii="Times New Roman" w:hAnsi="Times New Roman" w:cs="Times New Roman"/>
          <w:sz w:val="26"/>
          <w:szCs w:val="26"/>
        </w:rPr>
        <w:t xml:space="preserve">. </w:t>
      </w:r>
      <w:bookmarkEnd w:id="5"/>
    </w:p>
    <w:p w14:paraId="2E8726B2" w14:textId="77777777" w:rsidR="00C133DC" w:rsidRPr="00AD1BFD" w:rsidRDefault="00C133DC" w:rsidP="00C133DC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F2A45B" w14:textId="0B81B9A6" w:rsidR="00470C34" w:rsidRPr="00AD1BFD" w:rsidRDefault="00FB4396" w:rsidP="003D232E">
      <w:pPr>
        <w:pStyle w:val="Sarakstarindkop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FD">
        <w:rPr>
          <w:rFonts w:ascii="Times New Roman" w:hAnsi="Times New Roman" w:cs="Times New Roman"/>
          <w:sz w:val="26"/>
          <w:szCs w:val="26"/>
        </w:rPr>
        <w:t xml:space="preserve">Mantojuma objekta </w:t>
      </w:r>
      <w:r w:rsidR="004F49C5" w:rsidRPr="00AD1BFD">
        <w:rPr>
          <w:rFonts w:ascii="Times New Roman" w:hAnsi="Times New Roman" w:cs="Times New Roman"/>
          <w:sz w:val="26"/>
          <w:szCs w:val="26"/>
        </w:rPr>
        <w:t>kultūrvēsturiskā vērtība t</w:t>
      </w:r>
      <w:r w:rsidRPr="00AD1BFD">
        <w:rPr>
          <w:rFonts w:ascii="Times New Roman" w:hAnsi="Times New Roman" w:cs="Times New Roman"/>
          <w:sz w:val="26"/>
          <w:szCs w:val="26"/>
        </w:rPr>
        <w:t xml:space="preserve">iek </w:t>
      </w:r>
      <w:r w:rsidR="004F49C5" w:rsidRPr="00AD1BFD">
        <w:rPr>
          <w:rFonts w:ascii="Times New Roman" w:hAnsi="Times New Roman" w:cs="Times New Roman"/>
          <w:sz w:val="26"/>
          <w:szCs w:val="26"/>
        </w:rPr>
        <w:t>novērtēta</w:t>
      </w:r>
      <w:r w:rsidRPr="00AD1BFD">
        <w:rPr>
          <w:rFonts w:ascii="Times New Roman" w:hAnsi="Times New Roman" w:cs="Times New Roman"/>
          <w:sz w:val="26"/>
          <w:szCs w:val="26"/>
        </w:rPr>
        <w:t xml:space="preserve"> 10 punktu sistēmā</w:t>
      </w:r>
      <w:r w:rsidR="00470C34" w:rsidRPr="00AD1BFD">
        <w:rPr>
          <w:rFonts w:ascii="Times New Roman" w:hAnsi="Times New Roman" w:cs="Times New Roman"/>
          <w:sz w:val="26"/>
          <w:szCs w:val="26"/>
        </w:rPr>
        <w:t xml:space="preserve">, detalizējot </w:t>
      </w:r>
      <w:r w:rsidR="00C133DC">
        <w:rPr>
          <w:rFonts w:ascii="Times New Roman" w:eastAsia="Times New Roman" w:hAnsi="Times New Roman" w:cs="Times New Roman"/>
          <w:sz w:val="26"/>
          <w:szCs w:val="26"/>
        </w:rPr>
        <w:t>Rīgas teritorijas plānojuma Teritorijas izmantošanas un apbūves noteikumos</w:t>
      </w:r>
      <w:r w:rsidR="00C133DC" w:rsidRPr="00AD1B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0C34" w:rsidRPr="00AD1BFD">
        <w:rPr>
          <w:rFonts w:ascii="Times New Roman" w:hAnsi="Times New Roman" w:cs="Times New Roman"/>
          <w:sz w:val="26"/>
          <w:szCs w:val="26"/>
        </w:rPr>
        <w:t>norādītos kultūrvēsturiskās vērtības līmeņus:</w:t>
      </w:r>
    </w:p>
    <w:p w14:paraId="69AD30F2" w14:textId="485C46D6" w:rsidR="00852095" w:rsidRPr="00AD1BFD" w:rsidRDefault="002F20A3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FD">
        <w:rPr>
          <w:rFonts w:ascii="Times New Roman" w:hAnsi="Times New Roman" w:cs="Times New Roman"/>
          <w:sz w:val="26"/>
          <w:szCs w:val="26"/>
        </w:rPr>
        <w:t>9-</w:t>
      </w:r>
      <w:r w:rsidR="00FB4396" w:rsidRPr="00AD1BFD">
        <w:rPr>
          <w:rFonts w:ascii="Times New Roman" w:hAnsi="Times New Roman" w:cs="Times New Roman"/>
          <w:sz w:val="26"/>
          <w:szCs w:val="26"/>
        </w:rPr>
        <w:t>10</w:t>
      </w:r>
      <w:r w:rsidRPr="00AD1BFD">
        <w:rPr>
          <w:rFonts w:ascii="Times New Roman" w:hAnsi="Times New Roman" w:cs="Times New Roman"/>
          <w:sz w:val="26"/>
          <w:szCs w:val="26"/>
        </w:rPr>
        <w:t xml:space="preserve"> </w:t>
      </w:r>
      <w:r w:rsidR="00FB4396" w:rsidRPr="00AD1BFD">
        <w:rPr>
          <w:rFonts w:ascii="Times New Roman" w:hAnsi="Times New Roman" w:cs="Times New Roman"/>
          <w:sz w:val="26"/>
          <w:szCs w:val="26"/>
        </w:rPr>
        <w:t xml:space="preserve">punkti – </w:t>
      </w:r>
      <w:r w:rsidRPr="00AD1BFD">
        <w:rPr>
          <w:rFonts w:ascii="Times New Roman" w:hAnsi="Times New Roman" w:cs="Times New Roman"/>
          <w:sz w:val="26"/>
          <w:szCs w:val="26"/>
        </w:rPr>
        <w:t>kultūrvēsturiski vērtīgs objekts</w:t>
      </w:r>
      <w:r w:rsidR="00FB4396" w:rsidRPr="00AD1BFD">
        <w:rPr>
          <w:rFonts w:ascii="Times New Roman" w:hAnsi="Times New Roman" w:cs="Times New Roman"/>
          <w:sz w:val="26"/>
          <w:szCs w:val="26"/>
        </w:rPr>
        <w:t>, nav pieļaujama tā zaudēšana un pārveidošana</w:t>
      </w:r>
      <w:r w:rsidR="00A71BB0">
        <w:rPr>
          <w:rFonts w:ascii="Times New Roman" w:hAnsi="Times New Roman" w:cs="Times New Roman"/>
          <w:sz w:val="26"/>
          <w:szCs w:val="26"/>
        </w:rPr>
        <w:t xml:space="preserve">, </w:t>
      </w:r>
      <w:r w:rsidR="00A71BB0" w:rsidRPr="008C62C4">
        <w:rPr>
          <w:rFonts w:ascii="Times New Roman" w:hAnsi="Times New Roman" w:cs="Times New Roman"/>
          <w:sz w:val="26"/>
          <w:szCs w:val="26"/>
        </w:rPr>
        <w:t>izņemot</w:t>
      </w:r>
      <w:r w:rsidR="008C62C4">
        <w:rPr>
          <w:rFonts w:ascii="Times New Roman" w:hAnsi="Times New Roman" w:cs="Times New Roman"/>
          <w:sz w:val="26"/>
          <w:szCs w:val="26"/>
        </w:rPr>
        <w:t xml:space="preserve"> funkcionāla rakstura</w:t>
      </w:r>
      <w:r w:rsidR="00A71BB0" w:rsidRPr="008C62C4">
        <w:rPr>
          <w:rFonts w:ascii="Times New Roman" w:hAnsi="Times New Roman" w:cs="Times New Roman"/>
          <w:sz w:val="26"/>
          <w:szCs w:val="26"/>
        </w:rPr>
        <w:t xml:space="preserve"> pārveidojumus tā uzturēšana</w:t>
      </w:r>
      <w:r w:rsidR="008C62C4">
        <w:rPr>
          <w:rFonts w:ascii="Times New Roman" w:hAnsi="Times New Roman" w:cs="Times New Roman"/>
          <w:sz w:val="26"/>
          <w:szCs w:val="26"/>
        </w:rPr>
        <w:t xml:space="preserve">s nodrošināšanai, </w:t>
      </w:r>
      <w:r w:rsidR="00A71BB0" w:rsidRPr="008C62C4">
        <w:rPr>
          <w:rFonts w:ascii="Times New Roman" w:hAnsi="Times New Roman" w:cs="Times New Roman"/>
          <w:sz w:val="26"/>
          <w:szCs w:val="26"/>
        </w:rPr>
        <w:t xml:space="preserve">saglabājot tā kultūrvēsturiskās vērtības un atbilstību apkārtējās vides mērogam </w:t>
      </w:r>
      <w:r w:rsidR="00FB4396" w:rsidRPr="008C62C4">
        <w:rPr>
          <w:rFonts w:ascii="Times New Roman" w:hAnsi="Times New Roman" w:cs="Times New Roman"/>
          <w:sz w:val="26"/>
          <w:szCs w:val="26"/>
        </w:rPr>
        <w:t>(</w:t>
      </w:r>
      <w:r w:rsidRPr="008C62C4">
        <w:rPr>
          <w:rFonts w:ascii="Times New Roman" w:hAnsi="Times New Roman" w:cs="Times New Roman"/>
          <w:sz w:val="26"/>
          <w:szCs w:val="26"/>
        </w:rPr>
        <w:t>unikāls objekts</w:t>
      </w:r>
      <w:r w:rsidR="00FB4396" w:rsidRPr="008C62C4">
        <w:rPr>
          <w:rFonts w:ascii="Times New Roman" w:hAnsi="Times New Roman" w:cs="Times New Roman"/>
          <w:sz w:val="26"/>
          <w:szCs w:val="26"/>
        </w:rPr>
        <w:t>);</w:t>
      </w:r>
    </w:p>
    <w:p w14:paraId="6693B9E8" w14:textId="3BF993D3" w:rsidR="00852095" w:rsidRPr="00AD1BFD" w:rsidRDefault="00FB4396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FD">
        <w:rPr>
          <w:rFonts w:ascii="Times New Roman" w:hAnsi="Times New Roman" w:cs="Times New Roman"/>
          <w:sz w:val="26"/>
          <w:szCs w:val="26"/>
        </w:rPr>
        <w:t xml:space="preserve">8-9 punkti – </w:t>
      </w:r>
      <w:r w:rsidR="002F20A3" w:rsidRPr="00AD1BFD">
        <w:rPr>
          <w:rFonts w:ascii="Times New Roman" w:hAnsi="Times New Roman" w:cs="Times New Roman"/>
          <w:sz w:val="26"/>
          <w:szCs w:val="26"/>
        </w:rPr>
        <w:t>kultūrvēsturiski vērtīgs objekts</w:t>
      </w:r>
      <w:r w:rsidRPr="00AD1BFD">
        <w:rPr>
          <w:rFonts w:ascii="Times New Roman" w:hAnsi="Times New Roman" w:cs="Times New Roman"/>
          <w:sz w:val="26"/>
          <w:szCs w:val="26"/>
        </w:rPr>
        <w:t xml:space="preserve">, nav pieļaujama </w:t>
      </w:r>
      <w:r w:rsidR="00A71BB0">
        <w:rPr>
          <w:rFonts w:ascii="Times New Roman" w:hAnsi="Times New Roman" w:cs="Times New Roman"/>
          <w:sz w:val="26"/>
          <w:szCs w:val="26"/>
        </w:rPr>
        <w:t>tā</w:t>
      </w:r>
      <w:r w:rsidRPr="00AD1BFD">
        <w:rPr>
          <w:rFonts w:ascii="Times New Roman" w:hAnsi="Times New Roman" w:cs="Times New Roman"/>
          <w:sz w:val="26"/>
          <w:szCs w:val="26"/>
        </w:rPr>
        <w:t xml:space="preserve"> zaudēšana, pieļaujami nelieli pārveidojumi</w:t>
      </w:r>
      <w:r w:rsidR="00CB74A3" w:rsidRPr="00AD1BFD">
        <w:rPr>
          <w:rFonts w:ascii="Times New Roman" w:hAnsi="Times New Roman" w:cs="Times New Roman"/>
          <w:sz w:val="26"/>
          <w:szCs w:val="26"/>
        </w:rPr>
        <w:t>,</w:t>
      </w:r>
      <w:r w:rsidRPr="00AD1BFD">
        <w:rPr>
          <w:rFonts w:ascii="Times New Roman" w:hAnsi="Times New Roman" w:cs="Times New Roman"/>
          <w:sz w:val="26"/>
          <w:szCs w:val="26"/>
        </w:rPr>
        <w:t xml:space="preserve"> saglabājot tā kultūrvēsturiskās vērtības un atbilstību apkārtējās vides mērogam</w:t>
      </w:r>
      <w:r w:rsidR="002F20A3" w:rsidRPr="00AD1BFD">
        <w:rPr>
          <w:rFonts w:ascii="Times New Roman" w:hAnsi="Times New Roman" w:cs="Times New Roman"/>
          <w:sz w:val="26"/>
          <w:szCs w:val="26"/>
        </w:rPr>
        <w:t xml:space="preserve"> (ļoti vērtīgs objekts)</w:t>
      </w:r>
      <w:r w:rsidRPr="00AD1BFD">
        <w:rPr>
          <w:rFonts w:ascii="Times New Roman" w:hAnsi="Times New Roman" w:cs="Times New Roman"/>
          <w:sz w:val="26"/>
          <w:szCs w:val="26"/>
        </w:rPr>
        <w:t>;</w:t>
      </w:r>
    </w:p>
    <w:p w14:paraId="07E1E80B" w14:textId="50994D04" w:rsidR="00852095" w:rsidRPr="00AD1BFD" w:rsidRDefault="00FB4396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FD">
        <w:rPr>
          <w:rFonts w:ascii="Times New Roman" w:hAnsi="Times New Roman" w:cs="Times New Roman"/>
          <w:sz w:val="26"/>
          <w:szCs w:val="26"/>
        </w:rPr>
        <w:t xml:space="preserve">6-7 punkti – </w:t>
      </w:r>
      <w:r w:rsidR="002F20A3" w:rsidRPr="008C62C4">
        <w:rPr>
          <w:rFonts w:ascii="Times New Roman" w:hAnsi="Times New Roman" w:cs="Times New Roman"/>
          <w:sz w:val="26"/>
          <w:szCs w:val="26"/>
        </w:rPr>
        <w:t>kultūrvēsturiski vērtīgs objekts,</w:t>
      </w:r>
      <w:r w:rsidRPr="008C62C4">
        <w:rPr>
          <w:rFonts w:ascii="Times New Roman" w:hAnsi="Times New Roman" w:cs="Times New Roman"/>
          <w:sz w:val="26"/>
          <w:szCs w:val="26"/>
        </w:rPr>
        <w:t xml:space="preserve"> </w:t>
      </w:r>
      <w:r w:rsidR="00B64652" w:rsidRPr="008C62C4">
        <w:rPr>
          <w:rFonts w:ascii="Times New Roman" w:hAnsi="Times New Roman" w:cs="Times New Roman"/>
          <w:sz w:val="26"/>
          <w:szCs w:val="26"/>
        </w:rPr>
        <w:t xml:space="preserve">nav pieļaujama </w:t>
      </w:r>
      <w:r w:rsidR="00A71BB0" w:rsidRPr="008C62C4">
        <w:rPr>
          <w:rFonts w:ascii="Times New Roman" w:hAnsi="Times New Roman" w:cs="Times New Roman"/>
          <w:sz w:val="26"/>
          <w:szCs w:val="26"/>
        </w:rPr>
        <w:t>tā</w:t>
      </w:r>
      <w:r w:rsidR="00B64652" w:rsidRPr="008C62C4">
        <w:rPr>
          <w:rFonts w:ascii="Times New Roman" w:hAnsi="Times New Roman" w:cs="Times New Roman"/>
          <w:sz w:val="26"/>
          <w:szCs w:val="26"/>
        </w:rPr>
        <w:t xml:space="preserve"> zaudēšana, </w:t>
      </w:r>
      <w:r w:rsidR="002F20A3" w:rsidRPr="008C62C4">
        <w:rPr>
          <w:rFonts w:ascii="Times New Roman" w:hAnsi="Times New Roman" w:cs="Times New Roman"/>
          <w:sz w:val="26"/>
          <w:szCs w:val="26"/>
        </w:rPr>
        <w:t>p</w:t>
      </w:r>
      <w:r w:rsidRPr="008C62C4">
        <w:rPr>
          <w:rFonts w:ascii="Times New Roman" w:hAnsi="Times New Roman" w:cs="Times New Roman"/>
          <w:sz w:val="26"/>
          <w:szCs w:val="26"/>
        </w:rPr>
        <w:t xml:space="preserve">ieļaujama objekta pārveidošana, ja tas nepieciešams tā tālākai attīstībai un </w:t>
      </w:r>
      <w:r w:rsidRPr="008C62C4">
        <w:rPr>
          <w:rFonts w:ascii="Times New Roman" w:hAnsi="Times New Roman" w:cs="Times New Roman"/>
          <w:sz w:val="26"/>
          <w:szCs w:val="26"/>
        </w:rPr>
        <w:lastRenderedPageBreak/>
        <w:t>saglabāšanas nodrošināšanai</w:t>
      </w:r>
      <w:r w:rsidR="00A71BB0" w:rsidRPr="008C62C4">
        <w:rPr>
          <w:rFonts w:ascii="Times New Roman" w:hAnsi="Times New Roman" w:cs="Times New Roman"/>
          <w:sz w:val="26"/>
          <w:szCs w:val="26"/>
        </w:rPr>
        <w:t>, saglabājot tā kultūrvēsturiskās vērtības un atbilstību apkārtējās vides mērogam</w:t>
      </w:r>
      <w:r w:rsidR="002F20A3" w:rsidRPr="008C62C4">
        <w:rPr>
          <w:rFonts w:ascii="Times New Roman" w:hAnsi="Times New Roman" w:cs="Times New Roman"/>
          <w:sz w:val="26"/>
          <w:szCs w:val="26"/>
        </w:rPr>
        <w:t xml:space="preserve"> (vērtīgs</w:t>
      </w:r>
      <w:r w:rsidR="002F20A3" w:rsidRPr="00AD1BFD">
        <w:rPr>
          <w:rFonts w:ascii="Times New Roman" w:hAnsi="Times New Roman" w:cs="Times New Roman"/>
          <w:sz w:val="26"/>
          <w:szCs w:val="26"/>
        </w:rPr>
        <w:t xml:space="preserve"> objekts)</w:t>
      </w:r>
      <w:r w:rsidR="00852095" w:rsidRPr="00AD1BFD">
        <w:rPr>
          <w:rFonts w:ascii="Times New Roman" w:hAnsi="Times New Roman" w:cs="Times New Roman"/>
          <w:sz w:val="26"/>
          <w:szCs w:val="26"/>
        </w:rPr>
        <w:t>;</w:t>
      </w:r>
    </w:p>
    <w:p w14:paraId="6D63A51C" w14:textId="478F27CD" w:rsidR="00852095" w:rsidRPr="00AD1BFD" w:rsidRDefault="00FB4396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FD">
        <w:rPr>
          <w:rFonts w:ascii="Times New Roman" w:hAnsi="Times New Roman" w:cs="Times New Roman"/>
          <w:sz w:val="26"/>
          <w:szCs w:val="26"/>
        </w:rPr>
        <w:t>3-5 punkti – objekt</w:t>
      </w:r>
      <w:r w:rsidR="002F20A3" w:rsidRPr="00AD1BFD">
        <w:rPr>
          <w:rFonts w:ascii="Times New Roman" w:hAnsi="Times New Roman" w:cs="Times New Roman"/>
          <w:sz w:val="26"/>
          <w:szCs w:val="26"/>
        </w:rPr>
        <w:t>s</w:t>
      </w:r>
      <w:r w:rsidRPr="00AD1BFD">
        <w:rPr>
          <w:rFonts w:ascii="Times New Roman" w:hAnsi="Times New Roman" w:cs="Times New Roman"/>
          <w:sz w:val="26"/>
          <w:szCs w:val="26"/>
        </w:rPr>
        <w:t xml:space="preserve"> ar nelielu kultūrvēsturisku vērtību, vēlams saglabāt, pieļaujama objekt</w:t>
      </w:r>
      <w:r w:rsidR="00B64652">
        <w:rPr>
          <w:rFonts w:ascii="Times New Roman" w:hAnsi="Times New Roman" w:cs="Times New Roman"/>
          <w:sz w:val="26"/>
          <w:szCs w:val="26"/>
        </w:rPr>
        <w:t>a</w:t>
      </w:r>
      <w:r w:rsidRPr="00AD1BFD">
        <w:rPr>
          <w:rFonts w:ascii="Times New Roman" w:hAnsi="Times New Roman" w:cs="Times New Roman"/>
          <w:sz w:val="26"/>
          <w:szCs w:val="26"/>
        </w:rPr>
        <w:t xml:space="preserve"> pārveidošana, ievērojot apbūves mērogu un raksturu, </w:t>
      </w:r>
      <w:r w:rsidR="00CB74A3" w:rsidRPr="00AD1BFD">
        <w:rPr>
          <w:rFonts w:ascii="Times New Roman" w:hAnsi="Times New Roman" w:cs="Times New Roman"/>
          <w:sz w:val="26"/>
          <w:szCs w:val="26"/>
        </w:rPr>
        <w:t>pieļaujama objekta</w:t>
      </w:r>
      <w:r w:rsidRPr="00AD1BFD">
        <w:rPr>
          <w:rFonts w:ascii="Times New Roman" w:hAnsi="Times New Roman" w:cs="Times New Roman"/>
          <w:sz w:val="26"/>
          <w:szCs w:val="26"/>
        </w:rPr>
        <w:t xml:space="preserve"> zaudēšana</w:t>
      </w:r>
      <w:r w:rsidR="00CB74A3" w:rsidRPr="00AD1BFD">
        <w:rPr>
          <w:rFonts w:ascii="Times New Roman" w:hAnsi="Times New Roman" w:cs="Times New Roman"/>
          <w:sz w:val="26"/>
          <w:szCs w:val="26"/>
        </w:rPr>
        <w:t xml:space="preserve">, ja tā saglabāšana, </w:t>
      </w:r>
      <w:r w:rsidR="00B64652">
        <w:rPr>
          <w:rFonts w:ascii="Times New Roman" w:hAnsi="Times New Roman" w:cs="Times New Roman"/>
          <w:sz w:val="26"/>
          <w:szCs w:val="26"/>
        </w:rPr>
        <w:t>ņemot vērā</w:t>
      </w:r>
      <w:r w:rsidR="00CB74A3" w:rsidRPr="00AD1BFD">
        <w:rPr>
          <w:rFonts w:ascii="Times New Roman" w:hAnsi="Times New Roman" w:cs="Times New Roman"/>
          <w:sz w:val="26"/>
          <w:szCs w:val="26"/>
        </w:rPr>
        <w:t xml:space="preserve"> </w:t>
      </w:r>
      <w:r w:rsidR="00B64652">
        <w:rPr>
          <w:rFonts w:ascii="Times New Roman" w:hAnsi="Times New Roman" w:cs="Times New Roman"/>
          <w:sz w:val="26"/>
          <w:szCs w:val="26"/>
        </w:rPr>
        <w:t xml:space="preserve">tā </w:t>
      </w:r>
      <w:r w:rsidR="00CB74A3" w:rsidRPr="00AD1BFD">
        <w:rPr>
          <w:rFonts w:ascii="Times New Roman" w:hAnsi="Times New Roman" w:cs="Times New Roman"/>
          <w:sz w:val="26"/>
          <w:szCs w:val="26"/>
        </w:rPr>
        <w:t>slikto tehnisko stāvokli</w:t>
      </w:r>
      <w:r w:rsidR="00B64652">
        <w:rPr>
          <w:rFonts w:ascii="Times New Roman" w:hAnsi="Times New Roman" w:cs="Times New Roman"/>
          <w:sz w:val="26"/>
          <w:szCs w:val="26"/>
        </w:rPr>
        <w:t>,</w:t>
      </w:r>
      <w:r w:rsidR="00CB74A3" w:rsidRPr="00AD1BFD">
        <w:rPr>
          <w:rFonts w:ascii="Times New Roman" w:hAnsi="Times New Roman" w:cs="Times New Roman"/>
          <w:sz w:val="26"/>
          <w:szCs w:val="26"/>
        </w:rPr>
        <w:t xml:space="preserve"> nav lietderīga vai tā kultūrvēsturisko vērtību veidojošie elementi ir zuduši</w:t>
      </w:r>
      <w:r w:rsidRPr="00AD1BFD">
        <w:rPr>
          <w:rFonts w:ascii="Times New Roman" w:hAnsi="Times New Roman" w:cs="Times New Roman"/>
          <w:sz w:val="26"/>
          <w:szCs w:val="26"/>
        </w:rPr>
        <w:t>;</w:t>
      </w:r>
    </w:p>
    <w:p w14:paraId="6341A457" w14:textId="2C44526F" w:rsidR="00852095" w:rsidRPr="00AD1BFD" w:rsidRDefault="00FB4396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FD">
        <w:rPr>
          <w:rFonts w:ascii="Times New Roman" w:hAnsi="Times New Roman" w:cs="Times New Roman"/>
          <w:sz w:val="26"/>
          <w:szCs w:val="26"/>
        </w:rPr>
        <w:t>2</w:t>
      </w:r>
      <w:r w:rsidR="002F20A3" w:rsidRPr="00AD1BFD">
        <w:rPr>
          <w:rFonts w:ascii="Times New Roman" w:hAnsi="Times New Roman" w:cs="Times New Roman"/>
          <w:sz w:val="26"/>
          <w:szCs w:val="26"/>
        </w:rPr>
        <w:t>-3</w:t>
      </w:r>
      <w:r w:rsidRPr="00AD1BFD">
        <w:rPr>
          <w:rFonts w:ascii="Times New Roman" w:hAnsi="Times New Roman" w:cs="Times New Roman"/>
          <w:sz w:val="26"/>
          <w:szCs w:val="26"/>
        </w:rPr>
        <w:t xml:space="preserve"> punkti – objekt</w:t>
      </w:r>
      <w:r w:rsidR="00430915" w:rsidRPr="00AD1BFD">
        <w:rPr>
          <w:rFonts w:ascii="Times New Roman" w:hAnsi="Times New Roman" w:cs="Times New Roman"/>
          <w:sz w:val="26"/>
          <w:szCs w:val="26"/>
        </w:rPr>
        <w:t>s</w:t>
      </w:r>
      <w:r w:rsidRPr="00AD1BFD">
        <w:rPr>
          <w:rFonts w:ascii="Times New Roman" w:hAnsi="Times New Roman" w:cs="Times New Roman"/>
          <w:sz w:val="26"/>
          <w:szCs w:val="26"/>
        </w:rPr>
        <w:t xml:space="preserve"> bez kultūrvēsturiskas vērtības, pieļaujama pārveidošana </w:t>
      </w:r>
      <w:r w:rsidR="00B64652">
        <w:rPr>
          <w:rFonts w:ascii="Times New Roman" w:hAnsi="Times New Roman" w:cs="Times New Roman"/>
          <w:sz w:val="26"/>
          <w:szCs w:val="26"/>
        </w:rPr>
        <w:t>un</w:t>
      </w:r>
      <w:r w:rsidRPr="00AD1BFD">
        <w:rPr>
          <w:rFonts w:ascii="Times New Roman" w:hAnsi="Times New Roman" w:cs="Times New Roman"/>
          <w:sz w:val="26"/>
          <w:szCs w:val="26"/>
        </w:rPr>
        <w:t xml:space="preserve"> zaudēšana;</w:t>
      </w:r>
    </w:p>
    <w:p w14:paraId="019D2177" w14:textId="1C52B7BA" w:rsidR="0047220D" w:rsidRPr="00C133DC" w:rsidRDefault="00FB4396" w:rsidP="003D232E">
      <w:pPr>
        <w:pStyle w:val="Sarakstarindkopa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FD">
        <w:rPr>
          <w:rFonts w:ascii="Times New Roman" w:hAnsi="Times New Roman" w:cs="Times New Roman"/>
          <w:sz w:val="26"/>
          <w:szCs w:val="26"/>
        </w:rPr>
        <w:t>0</w:t>
      </w:r>
      <w:r w:rsidR="00430915" w:rsidRPr="00AD1BFD">
        <w:rPr>
          <w:rFonts w:ascii="Times New Roman" w:hAnsi="Times New Roman" w:cs="Times New Roman"/>
          <w:sz w:val="26"/>
          <w:szCs w:val="26"/>
        </w:rPr>
        <w:t>-1</w:t>
      </w:r>
      <w:r w:rsidRPr="00AD1BFD">
        <w:rPr>
          <w:rFonts w:ascii="Times New Roman" w:hAnsi="Times New Roman" w:cs="Times New Roman"/>
          <w:sz w:val="26"/>
          <w:szCs w:val="26"/>
        </w:rPr>
        <w:t xml:space="preserve"> </w:t>
      </w:r>
      <w:r w:rsidR="00B164F3" w:rsidRPr="00AD1BFD">
        <w:rPr>
          <w:rFonts w:ascii="Times New Roman" w:hAnsi="Times New Roman" w:cs="Times New Roman"/>
          <w:sz w:val="26"/>
          <w:szCs w:val="26"/>
        </w:rPr>
        <w:t xml:space="preserve">punkti </w:t>
      </w:r>
      <w:r w:rsidRPr="00AD1BFD">
        <w:rPr>
          <w:rFonts w:ascii="Times New Roman" w:hAnsi="Times New Roman" w:cs="Times New Roman"/>
          <w:sz w:val="26"/>
          <w:szCs w:val="26"/>
        </w:rPr>
        <w:t>– vidi degradējoš</w:t>
      </w:r>
      <w:r w:rsidR="00CB74A3" w:rsidRPr="00AD1BFD">
        <w:rPr>
          <w:rFonts w:ascii="Times New Roman" w:hAnsi="Times New Roman" w:cs="Times New Roman"/>
          <w:sz w:val="26"/>
          <w:szCs w:val="26"/>
        </w:rPr>
        <w:t>s</w:t>
      </w:r>
      <w:r w:rsidRPr="00AD1BFD">
        <w:rPr>
          <w:rFonts w:ascii="Times New Roman" w:hAnsi="Times New Roman" w:cs="Times New Roman"/>
          <w:sz w:val="26"/>
          <w:szCs w:val="26"/>
        </w:rPr>
        <w:t xml:space="preserve"> objekt</w:t>
      </w:r>
      <w:r w:rsidR="00CB74A3" w:rsidRPr="00AD1BFD">
        <w:rPr>
          <w:rFonts w:ascii="Times New Roman" w:hAnsi="Times New Roman" w:cs="Times New Roman"/>
          <w:sz w:val="26"/>
          <w:szCs w:val="26"/>
        </w:rPr>
        <w:t>s, o</w:t>
      </w:r>
      <w:r w:rsidRPr="00AD1BFD">
        <w:rPr>
          <w:rFonts w:ascii="Times New Roman" w:hAnsi="Times New Roman" w:cs="Times New Roman"/>
          <w:sz w:val="26"/>
          <w:szCs w:val="26"/>
        </w:rPr>
        <w:t>bjekt</w:t>
      </w:r>
      <w:r w:rsidR="00CB74A3" w:rsidRPr="00AD1BFD">
        <w:rPr>
          <w:rFonts w:ascii="Times New Roman" w:hAnsi="Times New Roman" w:cs="Times New Roman"/>
          <w:sz w:val="26"/>
          <w:szCs w:val="26"/>
        </w:rPr>
        <w:t>a</w:t>
      </w:r>
      <w:r w:rsidRPr="00AD1BFD">
        <w:rPr>
          <w:rFonts w:ascii="Times New Roman" w:hAnsi="Times New Roman" w:cs="Times New Roman"/>
          <w:sz w:val="26"/>
          <w:szCs w:val="26"/>
        </w:rPr>
        <w:t xml:space="preserve"> atrašanās pilsētvidē ir nevēlama,</w:t>
      </w:r>
      <w:r w:rsidR="00430915" w:rsidRPr="00AD1BFD">
        <w:rPr>
          <w:rFonts w:ascii="Times New Roman" w:hAnsi="Times New Roman" w:cs="Times New Roman"/>
          <w:sz w:val="26"/>
          <w:szCs w:val="26"/>
        </w:rPr>
        <w:t xml:space="preserve"> nav pieļaujama tā paplašināšana,</w:t>
      </w:r>
      <w:r w:rsidRPr="00AD1BFD">
        <w:rPr>
          <w:rFonts w:ascii="Times New Roman" w:hAnsi="Times New Roman" w:cs="Times New Roman"/>
          <w:sz w:val="26"/>
          <w:szCs w:val="26"/>
        </w:rPr>
        <w:t xml:space="preserve"> </w:t>
      </w:r>
      <w:r w:rsidR="00B64652">
        <w:rPr>
          <w:rFonts w:ascii="Times New Roman" w:hAnsi="Times New Roman" w:cs="Times New Roman"/>
          <w:sz w:val="26"/>
          <w:szCs w:val="26"/>
        </w:rPr>
        <w:t>ieteicama tā</w:t>
      </w:r>
      <w:r w:rsidRPr="00AD1BFD">
        <w:rPr>
          <w:rFonts w:ascii="Times New Roman" w:hAnsi="Times New Roman" w:cs="Times New Roman"/>
          <w:sz w:val="26"/>
          <w:szCs w:val="26"/>
        </w:rPr>
        <w:t xml:space="preserve"> nojau</w:t>
      </w:r>
      <w:r w:rsidR="00B64652">
        <w:rPr>
          <w:rFonts w:ascii="Times New Roman" w:hAnsi="Times New Roman" w:cs="Times New Roman"/>
          <w:sz w:val="26"/>
          <w:szCs w:val="26"/>
        </w:rPr>
        <w:t>kšana</w:t>
      </w:r>
      <w:r w:rsidRPr="00AD1BFD">
        <w:rPr>
          <w:rFonts w:ascii="Times New Roman" w:hAnsi="Times New Roman" w:cs="Times New Roman"/>
          <w:sz w:val="26"/>
          <w:szCs w:val="26"/>
        </w:rPr>
        <w:t>.</w:t>
      </w:r>
    </w:p>
    <w:p w14:paraId="40FA5B4C" w14:textId="77777777" w:rsidR="00B64652" w:rsidRPr="00B64652" w:rsidRDefault="00B64652" w:rsidP="00B64652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AD00F87" w14:textId="0E149E09" w:rsidR="007F11DB" w:rsidRPr="008C62C4" w:rsidRDefault="00852095" w:rsidP="003D232E">
      <w:pPr>
        <w:pStyle w:val="Sarakstarindkop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62C4">
        <w:rPr>
          <w:rFonts w:ascii="Times New Roman" w:hAnsi="Times New Roman" w:cs="Times New Roman"/>
          <w:sz w:val="26"/>
          <w:szCs w:val="26"/>
        </w:rPr>
        <w:t>N</w:t>
      </w:r>
      <w:r w:rsidR="00783281" w:rsidRPr="008C62C4">
        <w:rPr>
          <w:rFonts w:ascii="Times New Roman" w:hAnsi="Times New Roman" w:cs="Times New Roman"/>
          <w:sz w:val="26"/>
          <w:szCs w:val="26"/>
        </w:rPr>
        <w:t>oteikt</w:t>
      </w:r>
      <w:r w:rsidRPr="008C62C4">
        <w:rPr>
          <w:rFonts w:ascii="Times New Roman" w:hAnsi="Times New Roman" w:cs="Times New Roman"/>
          <w:sz w:val="26"/>
          <w:szCs w:val="26"/>
        </w:rPr>
        <w:t>ie</w:t>
      </w:r>
      <w:r w:rsidR="00783281" w:rsidRPr="008C62C4">
        <w:rPr>
          <w:rFonts w:ascii="Times New Roman" w:hAnsi="Times New Roman" w:cs="Times New Roman"/>
          <w:sz w:val="26"/>
          <w:szCs w:val="26"/>
        </w:rPr>
        <w:t xml:space="preserve"> </w:t>
      </w:r>
      <w:r w:rsidRPr="008C62C4">
        <w:rPr>
          <w:rFonts w:ascii="Times New Roman" w:hAnsi="Times New Roman" w:cs="Times New Roman"/>
          <w:sz w:val="26"/>
          <w:szCs w:val="26"/>
        </w:rPr>
        <w:t xml:space="preserve">Mantojuma objektu </w:t>
      </w:r>
      <w:r w:rsidR="00783281" w:rsidRPr="008C62C4">
        <w:rPr>
          <w:rFonts w:ascii="Times New Roman" w:hAnsi="Times New Roman" w:cs="Times New Roman"/>
          <w:sz w:val="26"/>
          <w:szCs w:val="26"/>
        </w:rPr>
        <w:t>kultūrvēsturiskās vērtības līme</w:t>
      </w:r>
      <w:r w:rsidRPr="008C62C4">
        <w:rPr>
          <w:rFonts w:ascii="Times New Roman" w:hAnsi="Times New Roman" w:cs="Times New Roman"/>
          <w:sz w:val="26"/>
          <w:szCs w:val="26"/>
        </w:rPr>
        <w:t xml:space="preserve">ņi </w:t>
      </w:r>
      <w:r w:rsidR="00B64652" w:rsidRPr="008C62C4">
        <w:rPr>
          <w:rFonts w:ascii="Times New Roman" w:hAnsi="Times New Roman" w:cs="Times New Roman"/>
          <w:sz w:val="26"/>
          <w:szCs w:val="26"/>
        </w:rPr>
        <w:t xml:space="preserve">tiek </w:t>
      </w:r>
      <w:r w:rsidRPr="008C62C4">
        <w:rPr>
          <w:rFonts w:ascii="Times New Roman" w:hAnsi="Times New Roman" w:cs="Times New Roman"/>
          <w:sz w:val="26"/>
          <w:szCs w:val="26"/>
        </w:rPr>
        <w:t>publicēti</w:t>
      </w:r>
      <w:r w:rsidR="00783281" w:rsidRPr="008C62C4">
        <w:rPr>
          <w:rFonts w:ascii="Times New Roman" w:hAnsi="Times New Roman" w:cs="Times New Roman"/>
          <w:sz w:val="26"/>
          <w:szCs w:val="26"/>
        </w:rPr>
        <w:t xml:space="preserve"> </w:t>
      </w:r>
      <w:r w:rsidRPr="008C62C4">
        <w:rPr>
          <w:rFonts w:ascii="Times New Roman" w:hAnsi="Times New Roman" w:cs="Times New Roman"/>
          <w:sz w:val="26"/>
          <w:szCs w:val="26"/>
          <w:shd w:val="clear" w:color="auto" w:fill="FFFFFF"/>
        </w:rPr>
        <w:t>Rīgas valstspilsētas pašvaldības ģeotelpisko datu publicēšanas platform</w:t>
      </w:r>
      <w:r w:rsidR="0047220D" w:rsidRPr="008C62C4">
        <w:rPr>
          <w:rFonts w:ascii="Times New Roman" w:hAnsi="Times New Roman" w:cs="Times New Roman"/>
          <w:sz w:val="26"/>
          <w:szCs w:val="26"/>
          <w:shd w:val="clear" w:color="auto" w:fill="FFFFFF"/>
        </w:rPr>
        <w:t>ā</w:t>
      </w:r>
      <w:r w:rsidRPr="008C6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GEO RĪGA</w:t>
      </w:r>
      <w:r w:rsidR="0047220D" w:rsidRPr="008C62C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7F11DB" w:rsidRPr="008C62C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47D20330" w14:textId="77777777" w:rsidR="00C133DC" w:rsidRPr="008C62C4" w:rsidRDefault="00C133DC" w:rsidP="00C133DC">
      <w:pPr>
        <w:pStyle w:val="Sarakstarindkopa"/>
        <w:rPr>
          <w:rFonts w:ascii="Times New Roman" w:eastAsia="Times New Roman" w:hAnsi="Times New Roman" w:cs="Times New Roman"/>
          <w:sz w:val="26"/>
          <w:szCs w:val="26"/>
        </w:rPr>
      </w:pPr>
    </w:p>
    <w:p w14:paraId="7BFD8486" w14:textId="3F5AFEA1" w:rsidR="00C133DC" w:rsidRPr="008C62C4" w:rsidRDefault="00C133DC" w:rsidP="003D232E">
      <w:pPr>
        <w:pStyle w:val="Sarakstarindkop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62C4">
        <w:rPr>
          <w:rFonts w:ascii="Times New Roman" w:eastAsia="Times New Roman" w:hAnsi="Times New Roman" w:cs="Times New Roman"/>
          <w:sz w:val="26"/>
          <w:szCs w:val="26"/>
        </w:rPr>
        <w:t>Mantojuma objekt</w:t>
      </w:r>
      <w:r w:rsidR="000A2627">
        <w:rPr>
          <w:rFonts w:ascii="Times New Roman" w:eastAsia="Times New Roman" w:hAnsi="Times New Roman" w:cs="Times New Roman"/>
          <w:sz w:val="26"/>
          <w:szCs w:val="26"/>
        </w:rPr>
        <w:t>ie</w:t>
      </w:r>
      <w:r w:rsidRPr="008C62C4">
        <w:rPr>
          <w:rFonts w:ascii="Times New Roman" w:eastAsia="Times New Roman" w:hAnsi="Times New Roman" w:cs="Times New Roman"/>
          <w:sz w:val="26"/>
          <w:szCs w:val="26"/>
        </w:rPr>
        <w:t>m</w:t>
      </w:r>
      <w:r w:rsidR="009E429D">
        <w:rPr>
          <w:rFonts w:ascii="Times New Roman" w:eastAsia="Times New Roman" w:hAnsi="Times New Roman" w:cs="Times New Roman"/>
          <w:sz w:val="26"/>
          <w:szCs w:val="26"/>
        </w:rPr>
        <w:t>, kur</w:t>
      </w:r>
      <w:r w:rsidR="000A2627">
        <w:rPr>
          <w:rFonts w:ascii="Times New Roman" w:eastAsia="Times New Roman" w:hAnsi="Times New Roman" w:cs="Times New Roman"/>
          <w:sz w:val="26"/>
          <w:szCs w:val="26"/>
        </w:rPr>
        <w:t>ie</w:t>
      </w:r>
      <w:r w:rsidR="009E429D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8C62C4">
        <w:rPr>
          <w:rFonts w:ascii="Times New Roman" w:eastAsia="Times New Roman" w:hAnsi="Times New Roman" w:cs="Times New Roman"/>
          <w:sz w:val="26"/>
          <w:szCs w:val="26"/>
        </w:rPr>
        <w:t xml:space="preserve"> ir noteikt</w:t>
      </w:r>
      <w:r w:rsidR="000A2627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8C62C4">
        <w:rPr>
          <w:rFonts w:ascii="Times New Roman" w:eastAsia="Times New Roman" w:hAnsi="Times New Roman" w:cs="Times New Roman"/>
          <w:sz w:val="26"/>
          <w:szCs w:val="26"/>
        </w:rPr>
        <w:t xml:space="preserve"> kultūrvēsturiskā</w:t>
      </w:r>
      <w:r w:rsidR="000A2627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8C62C4">
        <w:rPr>
          <w:rFonts w:ascii="Times New Roman" w:eastAsia="Times New Roman" w:hAnsi="Times New Roman" w:cs="Times New Roman"/>
          <w:sz w:val="26"/>
          <w:szCs w:val="26"/>
        </w:rPr>
        <w:t xml:space="preserve"> vērtība</w:t>
      </w:r>
      <w:r w:rsidR="000A2627">
        <w:rPr>
          <w:rFonts w:ascii="Times New Roman" w:eastAsia="Times New Roman" w:hAnsi="Times New Roman" w:cs="Times New Roman"/>
          <w:sz w:val="26"/>
          <w:szCs w:val="26"/>
        </w:rPr>
        <w:t>s līmenis</w:t>
      </w:r>
      <w:r w:rsidR="00A71BB0" w:rsidRPr="008C62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4162" w:rsidRPr="008C62C4">
        <w:rPr>
          <w:rFonts w:ascii="Times New Roman" w:eastAsia="Times New Roman" w:hAnsi="Times New Roman" w:cs="Times New Roman"/>
          <w:sz w:val="26"/>
          <w:szCs w:val="26"/>
        </w:rPr>
        <w:t>(</w:t>
      </w:r>
      <w:r w:rsidR="00906571" w:rsidRPr="008C62C4">
        <w:rPr>
          <w:rFonts w:ascii="Times New Roman" w:eastAsia="Times New Roman" w:hAnsi="Times New Roman" w:cs="Times New Roman"/>
          <w:sz w:val="26"/>
          <w:szCs w:val="26"/>
        </w:rPr>
        <w:t xml:space="preserve">noteikumu </w:t>
      </w:r>
      <w:r w:rsidR="000A2627">
        <w:rPr>
          <w:rFonts w:ascii="Times New Roman" w:eastAsia="Times New Roman" w:hAnsi="Times New Roman" w:cs="Times New Roman"/>
          <w:sz w:val="26"/>
          <w:szCs w:val="26"/>
        </w:rPr>
        <w:t>12</w:t>
      </w:r>
      <w:r w:rsidR="00014162" w:rsidRPr="008C62C4">
        <w:rPr>
          <w:rFonts w:ascii="Times New Roman" w:eastAsia="Times New Roman" w:hAnsi="Times New Roman" w:cs="Times New Roman"/>
          <w:sz w:val="26"/>
          <w:szCs w:val="26"/>
        </w:rPr>
        <w:t xml:space="preserve">.1. – </w:t>
      </w:r>
      <w:r w:rsidR="000A2627">
        <w:rPr>
          <w:rFonts w:ascii="Times New Roman" w:eastAsia="Times New Roman" w:hAnsi="Times New Roman" w:cs="Times New Roman"/>
          <w:sz w:val="26"/>
          <w:szCs w:val="26"/>
        </w:rPr>
        <w:t>12</w:t>
      </w:r>
      <w:r w:rsidR="00014162" w:rsidRPr="008C62C4">
        <w:rPr>
          <w:rFonts w:ascii="Times New Roman" w:eastAsia="Times New Roman" w:hAnsi="Times New Roman" w:cs="Times New Roman"/>
          <w:sz w:val="26"/>
          <w:szCs w:val="26"/>
        </w:rPr>
        <w:t>.4.</w:t>
      </w:r>
      <w:r w:rsidR="00906571" w:rsidRPr="008C62C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14162" w:rsidRPr="008C62C4">
        <w:rPr>
          <w:rFonts w:ascii="Times New Roman" w:eastAsia="Times New Roman" w:hAnsi="Times New Roman" w:cs="Times New Roman"/>
          <w:sz w:val="26"/>
          <w:szCs w:val="26"/>
        </w:rPr>
        <w:t>apakšpunkts)</w:t>
      </w:r>
      <w:r w:rsidRPr="008C62C4">
        <w:rPr>
          <w:rFonts w:ascii="Times New Roman" w:eastAsia="Times New Roman" w:hAnsi="Times New Roman" w:cs="Times New Roman"/>
          <w:sz w:val="26"/>
          <w:szCs w:val="26"/>
        </w:rPr>
        <w:t>, būvniecības ieceres</w:t>
      </w:r>
      <w:r w:rsidR="009E429D">
        <w:rPr>
          <w:rFonts w:ascii="Times New Roman" w:eastAsia="Times New Roman" w:hAnsi="Times New Roman" w:cs="Times New Roman"/>
          <w:sz w:val="26"/>
          <w:szCs w:val="26"/>
        </w:rPr>
        <w:t xml:space="preserve"> izstrādāšanai </w:t>
      </w:r>
      <w:r w:rsidR="00F276B6" w:rsidRPr="008C62C4">
        <w:rPr>
          <w:rFonts w:ascii="Times New Roman" w:eastAsia="Times New Roman" w:hAnsi="Times New Roman" w:cs="Times New Roman"/>
          <w:sz w:val="26"/>
          <w:szCs w:val="26"/>
        </w:rPr>
        <w:t xml:space="preserve">projektēšanas </w:t>
      </w:r>
      <w:r w:rsidR="000A2627">
        <w:rPr>
          <w:rFonts w:ascii="Times New Roman" w:eastAsia="Times New Roman" w:hAnsi="Times New Roman" w:cs="Times New Roman"/>
          <w:sz w:val="26"/>
          <w:szCs w:val="26"/>
        </w:rPr>
        <w:t>stadijā</w:t>
      </w:r>
      <w:r w:rsidR="00F276B6" w:rsidRPr="008C62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652" w:rsidRPr="008C62C4">
        <w:rPr>
          <w:rFonts w:ascii="Times New Roman" w:eastAsia="Times New Roman" w:hAnsi="Times New Roman" w:cs="Times New Roman"/>
          <w:sz w:val="26"/>
          <w:szCs w:val="26"/>
        </w:rPr>
        <w:t>jāsaņem</w:t>
      </w:r>
      <w:r w:rsidR="00F276B6" w:rsidRPr="008C62C4">
        <w:rPr>
          <w:rFonts w:ascii="Times New Roman" w:eastAsia="Times New Roman" w:hAnsi="Times New Roman" w:cs="Times New Roman"/>
          <w:sz w:val="26"/>
          <w:szCs w:val="26"/>
        </w:rPr>
        <w:t xml:space="preserve"> Departamenta </w:t>
      </w:r>
      <w:r w:rsidR="000A2627">
        <w:rPr>
          <w:rFonts w:ascii="Times New Roman" w:eastAsia="Times New Roman" w:hAnsi="Times New Roman" w:cs="Times New Roman"/>
          <w:sz w:val="26"/>
          <w:szCs w:val="26"/>
        </w:rPr>
        <w:t>prasības</w:t>
      </w:r>
      <w:r w:rsidR="00F276B6" w:rsidRPr="008C62C4">
        <w:rPr>
          <w:rFonts w:ascii="Times New Roman" w:eastAsia="Times New Roman" w:hAnsi="Times New Roman" w:cs="Times New Roman"/>
          <w:sz w:val="26"/>
          <w:szCs w:val="26"/>
        </w:rPr>
        <w:t xml:space="preserve"> konkrētās ieceres realizācijai.</w:t>
      </w:r>
      <w:r w:rsidR="002D6416" w:rsidRPr="008C62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A56A620" w14:textId="77777777" w:rsidR="002D6416" w:rsidRPr="008C62C4" w:rsidRDefault="002D6416" w:rsidP="002D6416">
      <w:pPr>
        <w:pStyle w:val="Sarakstarindkopa"/>
        <w:rPr>
          <w:rFonts w:ascii="Times New Roman" w:eastAsia="Times New Roman" w:hAnsi="Times New Roman" w:cs="Times New Roman"/>
          <w:sz w:val="26"/>
          <w:szCs w:val="26"/>
        </w:rPr>
      </w:pPr>
    </w:p>
    <w:p w14:paraId="5FC3EC8C" w14:textId="5F7DE17D" w:rsidR="002D6416" w:rsidRPr="008C62C4" w:rsidRDefault="002D6416" w:rsidP="003D232E">
      <w:pPr>
        <w:pStyle w:val="Sarakstarindkop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62C4">
        <w:rPr>
          <w:rFonts w:ascii="Times New Roman" w:eastAsia="Times New Roman" w:hAnsi="Times New Roman" w:cs="Times New Roman"/>
          <w:sz w:val="26"/>
          <w:szCs w:val="26"/>
        </w:rPr>
        <w:t>Mantojuma objekt</w:t>
      </w:r>
      <w:r w:rsidR="000A2627">
        <w:rPr>
          <w:rFonts w:ascii="Times New Roman" w:eastAsia="Times New Roman" w:hAnsi="Times New Roman" w:cs="Times New Roman"/>
          <w:sz w:val="26"/>
          <w:szCs w:val="26"/>
        </w:rPr>
        <w:t>ie</w:t>
      </w:r>
      <w:r w:rsidRPr="008C62C4">
        <w:rPr>
          <w:rFonts w:ascii="Times New Roman" w:eastAsia="Times New Roman" w:hAnsi="Times New Roman" w:cs="Times New Roman"/>
          <w:sz w:val="26"/>
          <w:szCs w:val="26"/>
        </w:rPr>
        <w:t>m</w:t>
      </w:r>
      <w:r w:rsidR="009E429D">
        <w:rPr>
          <w:rFonts w:ascii="Times New Roman" w:eastAsia="Times New Roman" w:hAnsi="Times New Roman" w:cs="Times New Roman"/>
          <w:sz w:val="26"/>
          <w:szCs w:val="26"/>
        </w:rPr>
        <w:t>, kur</w:t>
      </w:r>
      <w:r w:rsidR="000A2627">
        <w:rPr>
          <w:rFonts w:ascii="Times New Roman" w:eastAsia="Times New Roman" w:hAnsi="Times New Roman" w:cs="Times New Roman"/>
          <w:sz w:val="26"/>
          <w:szCs w:val="26"/>
        </w:rPr>
        <w:t>ie</w:t>
      </w:r>
      <w:r w:rsidR="009E429D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8C62C4">
        <w:rPr>
          <w:rFonts w:ascii="Times New Roman" w:eastAsia="Times New Roman" w:hAnsi="Times New Roman" w:cs="Times New Roman"/>
          <w:sz w:val="26"/>
          <w:szCs w:val="26"/>
        </w:rPr>
        <w:t xml:space="preserve"> ir noteikt</w:t>
      </w:r>
      <w:r w:rsidR="000A2627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8C62C4">
        <w:rPr>
          <w:rFonts w:ascii="Times New Roman" w:eastAsia="Times New Roman" w:hAnsi="Times New Roman" w:cs="Times New Roman"/>
          <w:sz w:val="26"/>
          <w:szCs w:val="26"/>
        </w:rPr>
        <w:t xml:space="preserve"> kultūrvēsturiskā</w:t>
      </w:r>
      <w:r w:rsidR="000A2627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8C62C4">
        <w:rPr>
          <w:rFonts w:ascii="Times New Roman" w:eastAsia="Times New Roman" w:hAnsi="Times New Roman" w:cs="Times New Roman"/>
          <w:sz w:val="26"/>
          <w:szCs w:val="26"/>
        </w:rPr>
        <w:t xml:space="preserve"> vērtība</w:t>
      </w:r>
      <w:r w:rsidR="000A2627">
        <w:rPr>
          <w:rFonts w:ascii="Times New Roman" w:eastAsia="Times New Roman" w:hAnsi="Times New Roman" w:cs="Times New Roman"/>
          <w:sz w:val="26"/>
          <w:szCs w:val="26"/>
        </w:rPr>
        <w:t>s līmenis</w:t>
      </w:r>
      <w:r w:rsidRPr="008C62C4">
        <w:rPr>
          <w:rFonts w:ascii="Times New Roman" w:eastAsia="Times New Roman" w:hAnsi="Times New Roman" w:cs="Times New Roman"/>
          <w:sz w:val="26"/>
          <w:szCs w:val="26"/>
        </w:rPr>
        <w:t xml:space="preserve">, pārvērtēšanu ir iespējams veikt pēc </w:t>
      </w:r>
      <w:r w:rsidR="00906571" w:rsidRPr="008C62C4">
        <w:rPr>
          <w:rFonts w:ascii="Times New Roman" w:eastAsia="Times New Roman" w:hAnsi="Times New Roman" w:cs="Times New Roman"/>
          <w:sz w:val="26"/>
          <w:szCs w:val="26"/>
        </w:rPr>
        <w:t>pieciem</w:t>
      </w:r>
      <w:r w:rsidRPr="008C62C4">
        <w:rPr>
          <w:rFonts w:ascii="Times New Roman" w:eastAsia="Times New Roman" w:hAnsi="Times New Roman" w:cs="Times New Roman"/>
          <w:sz w:val="26"/>
          <w:szCs w:val="26"/>
        </w:rPr>
        <w:t xml:space="preserve"> gadiem</w:t>
      </w:r>
      <w:r w:rsidR="00906571" w:rsidRPr="008C62C4">
        <w:rPr>
          <w:rFonts w:ascii="Times New Roman" w:eastAsia="Times New Roman" w:hAnsi="Times New Roman" w:cs="Times New Roman"/>
          <w:sz w:val="26"/>
          <w:szCs w:val="26"/>
        </w:rPr>
        <w:t xml:space="preserve"> vai ātrāk, ja būtiski mainījušies faktiskie apstākļi.</w:t>
      </w:r>
    </w:p>
    <w:p w14:paraId="352F9890" w14:textId="77777777" w:rsidR="00F67460" w:rsidRPr="00F67460" w:rsidRDefault="00F67460" w:rsidP="00F674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729D0C" w14:textId="2F4FA76F" w:rsidR="0047220D" w:rsidRDefault="0018450E" w:rsidP="0047220D">
      <w:pPr>
        <w:pStyle w:val="Sarakstarindkopa"/>
        <w:shd w:val="clear" w:color="auto" w:fill="FFFFFF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III</w:t>
      </w:r>
      <w:r w:rsidR="0047220D" w:rsidRPr="0047220D">
        <w:rPr>
          <w:rFonts w:ascii="Times New Roman" w:hAnsi="Times New Roman" w:cs="Times New Roman"/>
          <w:b/>
          <w:bCs/>
          <w:sz w:val="26"/>
          <w:szCs w:val="26"/>
        </w:rPr>
        <w:t>. Lēmumu apstrīdēšana un pārsūdzēšana</w:t>
      </w:r>
    </w:p>
    <w:p w14:paraId="27CC9129" w14:textId="77777777" w:rsidR="007F11DB" w:rsidRPr="0047220D" w:rsidRDefault="007F11DB" w:rsidP="0047220D">
      <w:pPr>
        <w:pStyle w:val="Sarakstarindkopa"/>
        <w:shd w:val="clear" w:color="auto" w:fill="FFFFFF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</w:p>
    <w:p w14:paraId="09026EEC" w14:textId="724B62C8" w:rsidR="006D09C9" w:rsidRPr="006F757F" w:rsidRDefault="00060B3E" w:rsidP="003D232E">
      <w:pPr>
        <w:pStyle w:val="Sarakstarindkopa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757F">
        <w:rPr>
          <w:rFonts w:ascii="Times New Roman" w:hAnsi="Times New Roman" w:cs="Times New Roman"/>
          <w:sz w:val="26"/>
          <w:szCs w:val="26"/>
          <w:shd w:val="clear" w:color="auto" w:fill="FFFFFF"/>
        </w:rPr>
        <w:t>Departamenta</w:t>
      </w:r>
      <w:r w:rsidR="0018450E" w:rsidRPr="006F75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F75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izdoto administratīvo aktu var apstrīdēt pie </w:t>
      </w:r>
      <w:r w:rsidR="0018450E" w:rsidRPr="006F757F">
        <w:rPr>
          <w:rFonts w:ascii="Times New Roman" w:hAnsi="Times New Roman" w:cs="Times New Roman"/>
          <w:sz w:val="26"/>
          <w:szCs w:val="26"/>
          <w:shd w:val="clear" w:color="auto" w:fill="FFFFFF"/>
        </w:rPr>
        <w:t>D</w:t>
      </w:r>
      <w:r w:rsidRPr="006F757F">
        <w:rPr>
          <w:rFonts w:ascii="Times New Roman" w:hAnsi="Times New Roman" w:cs="Times New Roman"/>
          <w:sz w:val="26"/>
          <w:szCs w:val="26"/>
          <w:shd w:val="clear" w:color="auto" w:fill="FFFFFF"/>
        </w:rPr>
        <w:t>epartamenta direktora</w:t>
      </w:r>
      <w:r w:rsidR="0018450E" w:rsidRPr="006F75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vietnieka administratīvajos jautājumos. </w:t>
      </w:r>
      <w:r w:rsidRPr="006F757F">
        <w:rPr>
          <w:rFonts w:ascii="Times New Roman" w:hAnsi="Times New Roman" w:cs="Times New Roman"/>
          <w:sz w:val="26"/>
          <w:szCs w:val="26"/>
          <w:shd w:val="clear" w:color="auto" w:fill="FFFFFF"/>
        </w:rPr>
        <w:t>Departamenta direktora</w:t>
      </w:r>
      <w:r w:rsidR="0018450E" w:rsidRPr="006F75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vietnieka administratīvajos jautājumos</w:t>
      </w:r>
      <w:r w:rsidRPr="006F75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lēmumu par </w:t>
      </w:r>
      <w:r w:rsidR="0018450E" w:rsidRPr="006F75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apstrīdēto </w:t>
      </w:r>
      <w:r w:rsidRPr="006F757F">
        <w:rPr>
          <w:rFonts w:ascii="Times New Roman" w:hAnsi="Times New Roman" w:cs="Times New Roman"/>
          <w:sz w:val="26"/>
          <w:szCs w:val="26"/>
          <w:shd w:val="clear" w:color="auto" w:fill="FFFFFF"/>
        </w:rPr>
        <w:t>administratīvo aktu var pārsūdzēt Administratīvajā rajona tiesā.</w:t>
      </w:r>
      <w:r w:rsidR="0047220D" w:rsidRPr="006F75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bookmarkEnd w:id="0"/>
    </w:p>
    <w:p w14:paraId="0EBD2B8C" w14:textId="77777777" w:rsidR="0047220D" w:rsidRDefault="0047220D" w:rsidP="0047220D">
      <w:pPr>
        <w:pStyle w:val="Sarakstarindkopa"/>
        <w:jc w:val="both"/>
        <w:rPr>
          <w:rFonts w:ascii="Times New Roman" w:hAnsi="Times New Roman" w:cs="Times New Roman"/>
          <w:sz w:val="26"/>
          <w:szCs w:val="26"/>
        </w:rPr>
      </w:pPr>
    </w:p>
    <w:p w14:paraId="6A0A8968" w14:textId="26353CB4" w:rsidR="0047220D" w:rsidRPr="00F276B6" w:rsidRDefault="0018450E" w:rsidP="00F276B6">
      <w:pPr>
        <w:pStyle w:val="Sarakstarindkopa"/>
        <w:shd w:val="clear" w:color="auto" w:fill="FFFFFF"/>
        <w:ind w:left="2160" w:firstLine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IV</w:t>
      </w:r>
      <w:r w:rsidR="0047220D" w:rsidRPr="0047220D">
        <w:rPr>
          <w:rFonts w:ascii="Times New Roman" w:hAnsi="Times New Roman" w:cs="Times New Roman"/>
          <w:b/>
          <w:bCs/>
          <w:sz w:val="26"/>
          <w:szCs w:val="26"/>
        </w:rPr>
        <w:t>. Noslēguma jautājum</w:t>
      </w:r>
      <w:r w:rsidR="00906571">
        <w:rPr>
          <w:rFonts w:ascii="Times New Roman" w:hAnsi="Times New Roman" w:cs="Times New Roman"/>
          <w:b/>
          <w:bCs/>
          <w:sz w:val="26"/>
          <w:szCs w:val="26"/>
        </w:rPr>
        <w:t>s</w:t>
      </w:r>
    </w:p>
    <w:p w14:paraId="48482D18" w14:textId="77777777" w:rsidR="00F276B6" w:rsidRDefault="00F276B6" w:rsidP="00F276B6">
      <w:pPr>
        <w:pStyle w:val="tv21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3EB38D2A" w14:textId="77777777" w:rsidR="004C5E0F" w:rsidRPr="00490D98" w:rsidRDefault="004C5E0F" w:rsidP="003D232E">
      <w:pPr>
        <w:pStyle w:val="tv21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N</w:t>
      </w:r>
      <w:r w:rsidRPr="00490D98">
        <w:rPr>
          <w:sz w:val="26"/>
          <w:szCs w:val="26"/>
        </w:rPr>
        <w:t xml:space="preserve">oteikumi publicējami oficiālajā izdevumā </w:t>
      </w:r>
      <w:r>
        <w:rPr>
          <w:sz w:val="26"/>
          <w:szCs w:val="26"/>
        </w:rPr>
        <w:t>“</w:t>
      </w:r>
      <w:r w:rsidRPr="00490D98">
        <w:rPr>
          <w:sz w:val="26"/>
          <w:szCs w:val="26"/>
        </w:rPr>
        <w:t>Latvijas Vēstnesis</w:t>
      </w:r>
      <w:r>
        <w:rPr>
          <w:sz w:val="26"/>
          <w:szCs w:val="26"/>
        </w:rPr>
        <w:t>”</w:t>
      </w:r>
      <w:r w:rsidRPr="00490D98">
        <w:rPr>
          <w:sz w:val="26"/>
          <w:szCs w:val="26"/>
        </w:rPr>
        <w:t xml:space="preserve"> un stājas spēkā nākamajā dienā pēc publicēšanas.</w:t>
      </w:r>
    </w:p>
    <w:p w14:paraId="4A37187F" w14:textId="77777777" w:rsidR="004C5E0F" w:rsidRPr="0047220D" w:rsidRDefault="004C5E0F" w:rsidP="004C5E0F">
      <w:pPr>
        <w:pStyle w:val="tv213"/>
        <w:shd w:val="clear" w:color="auto" w:fill="FFFFFF"/>
        <w:spacing w:before="0" w:beforeAutospacing="0" w:after="0" w:afterAutospacing="0" w:line="293" w:lineRule="atLeast"/>
        <w:ind w:left="720"/>
        <w:jc w:val="both"/>
        <w:rPr>
          <w:sz w:val="26"/>
          <w:szCs w:val="26"/>
        </w:rPr>
      </w:pPr>
    </w:p>
    <w:p w14:paraId="15BC602F" w14:textId="77777777" w:rsidR="0047220D" w:rsidRPr="0047220D" w:rsidRDefault="0047220D" w:rsidP="0047220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7220D" w:rsidRPr="0047220D" w:rsidSect="005E51F2"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4582" w14:textId="77777777" w:rsidR="00C15CD9" w:rsidRDefault="00C15CD9" w:rsidP="005E51F2">
      <w:pPr>
        <w:spacing w:after="0" w:line="240" w:lineRule="auto"/>
      </w:pPr>
      <w:r>
        <w:separator/>
      </w:r>
    </w:p>
  </w:endnote>
  <w:endnote w:type="continuationSeparator" w:id="0">
    <w:p w14:paraId="2DCABB92" w14:textId="77777777" w:rsidR="00C15CD9" w:rsidRDefault="00C15CD9" w:rsidP="005E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488164979"/>
      <w:docPartObj>
        <w:docPartGallery w:val="Page Numbers (Bottom of Page)"/>
        <w:docPartUnique/>
      </w:docPartObj>
    </w:sdtPr>
    <w:sdtContent>
      <w:p w14:paraId="25D9F3C5" w14:textId="3926EE31" w:rsidR="005E51F2" w:rsidRPr="005E51F2" w:rsidRDefault="005E51F2">
        <w:pPr>
          <w:pStyle w:val="Kjene"/>
          <w:jc w:val="center"/>
          <w:rPr>
            <w:rFonts w:ascii="Times New Roman" w:hAnsi="Times New Roman" w:cs="Times New Roman"/>
          </w:rPr>
        </w:pPr>
        <w:r w:rsidRPr="005E51F2">
          <w:rPr>
            <w:rFonts w:ascii="Times New Roman" w:hAnsi="Times New Roman" w:cs="Times New Roman"/>
          </w:rPr>
          <w:fldChar w:fldCharType="begin"/>
        </w:r>
        <w:r w:rsidRPr="005E51F2">
          <w:rPr>
            <w:rFonts w:ascii="Times New Roman" w:hAnsi="Times New Roman" w:cs="Times New Roman"/>
          </w:rPr>
          <w:instrText>PAGE   \* MERGEFORMAT</w:instrText>
        </w:r>
        <w:r w:rsidRPr="005E51F2">
          <w:rPr>
            <w:rFonts w:ascii="Times New Roman" w:hAnsi="Times New Roman" w:cs="Times New Roman"/>
          </w:rPr>
          <w:fldChar w:fldCharType="separate"/>
        </w:r>
        <w:r w:rsidRPr="005E51F2">
          <w:rPr>
            <w:rFonts w:ascii="Times New Roman" w:hAnsi="Times New Roman" w:cs="Times New Roman"/>
          </w:rPr>
          <w:t>2</w:t>
        </w:r>
        <w:r w:rsidRPr="005E51F2">
          <w:rPr>
            <w:rFonts w:ascii="Times New Roman" w:hAnsi="Times New Roman" w:cs="Times New Roman"/>
          </w:rPr>
          <w:fldChar w:fldCharType="end"/>
        </w:r>
      </w:p>
    </w:sdtContent>
  </w:sdt>
  <w:p w14:paraId="367AC596" w14:textId="77777777" w:rsidR="005E51F2" w:rsidRPr="005E51F2" w:rsidRDefault="005E51F2">
    <w:pPr>
      <w:pStyle w:val="Kjen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8B71" w14:textId="77777777" w:rsidR="00C15CD9" w:rsidRDefault="00C15CD9" w:rsidP="005E51F2">
      <w:pPr>
        <w:spacing w:after="0" w:line="240" w:lineRule="auto"/>
      </w:pPr>
      <w:r>
        <w:separator/>
      </w:r>
    </w:p>
  </w:footnote>
  <w:footnote w:type="continuationSeparator" w:id="0">
    <w:p w14:paraId="26B75BBC" w14:textId="77777777" w:rsidR="00C15CD9" w:rsidRDefault="00C15CD9" w:rsidP="005E5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EFF"/>
    <w:multiLevelType w:val="hybridMultilevel"/>
    <w:tmpl w:val="D4E274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0C9E"/>
    <w:multiLevelType w:val="multilevel"/>
    <w:tmpl w:val="A93041A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F45846"/>
    <w:multiLevelType w:val="hybridMultilevel"/>
    <w:tmpl w:val="CEBA30BE"/>
    <w:lvl w:ilvl="0" w:tplc="D8C0CA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24AAF"/>
    <w:multiLevelType w:val="hybridMultilevel"/>
    <w:tmpl w:val="9A368E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A1A05"/>
    <w:multiLevelType w:val="hybridMultilevel"/>
    <w:tmpl w:val="F4560C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64B94"/>
    <w:multiLevelType w:val="multilevel"/>
    <w:tmpl w:val="A93041A2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A5344E0"/>
    <w:multiLevelType w:val="hybridMultilevel"/>
    <w:tmpl w:val="0D26A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202C7"/>
    <w:multiLevelType w:val="hybridMultilevel"/>
    <w:tmpl w:val="51E8C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C22DC"/>
    <w:multiLevelType w:val="hybridMultilevel"/>
    <w:tmpl w:val="CEBA30BE"/>
    <w:lvl w:ilvl="0" w:tplc="D8C0CAE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23F0D"/>
    <w:multiLevelType w:val="hybridMultilevel"/>
    <w:tmpl w:val="2CD40B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56B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447140"/>
    <w:multiLevelType w:val="hybridMultilevel"/>
    <w:tmpl w:val="DC3227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F0F05"/>
    <w:multiLevelType w:val="hybridMultilevel"/>
    <w:tmpl w:val="AA5072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72DA9"/>
    <w:multiLevelType w:val="hybridMultilevel"/>
    <w:tmpl w:val="8FDEE3B8"/>
    <w:lvl w:ilvl="0" w:tplc="CDF830D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5964D6D"/>
    <w:multiLevelType w:val="hybridMultilevel"/>
    <w:tmpl w:val="2660B4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620C9"/>
    <w:multiLevelType w:val="multilevel"/>
    <w:tmpl w:val="A9304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2A5C23"/>
    <w:multiLevelType w:val="hybridMultilevel"/>
    <w:tmpl w:val="0C1AAF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F7C9D"/>
    <w:multiLevelType w:val="hybridMultilevel"/>
    <w:tmpl w:val="F2DC81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6337">
    <w:abstractNumId w:val="17"/>
  </w:num>
  <w:num w:numId="2" w16cid:durableId="728498728">
    <w:abstractNumId w:val="3"/>
  </w:num>
  <w:num w:numId="3" w16cid:durableId="1430808908">
    <w:abstractNumId w:val="0"/>
  </w:num>
  <w:num w:numId="4" w16cid:durableId="1511410485">
    <w:abstractNumId w:val="14"/>
  </w:num>
  <w:num w:numId="5" w16cid:durableId="203637151">
    <w:abstractNumId w:val="6"/>
  </w:num>
  <w:num w:numId="6" w16cid:durableId="492529041">
    <w:abstractNumId w:val="4"/>
  </w:num>
  <w:num w:numId="7" w16cid:durableId="1680354951">
    <w:abstractNumId w:val="16"/>
  </w:num>
  <w:num w:numId="8" w16cid:durableId="1850291479">
    <w:abstractNumId w:val="9"/>
  </w:num>
  <w:num w:numId="9" w16cid:durableId="1540699084">
    <w:abstractNumId w:val="11"/>
  </w:num>
  <w:num w:numId="10" w16cid:durableId="1743336537">
    <w:abstractNumId w:val="12"/>
  </w:num>
  <w:num w:numId="11" w16cid:durableId="2031762547">
    <w:abstractNumId w:val="2"/>
  </w:num>
  <w:num w:numId="12" w16cid:durableId="1352217938">
    <w:abstractNumId w:val="10"/>
  </w:num>
  <w:num w:numId="13" w16cid:durableId="541594421">
    <w:abstractNumId w:val="8"/>
  </w:num>
  <w:num w:numId="14" w16cid:durableId="1031999107">
    <w:abstractNumId w:val="7"/>
  </w:num>
  <w:num w:numId="15" w16cid:durableId="642926994">
    <w:abstractNumId w:val="13"/>
  </w:num>
  <w:num w:numId="16" w16cid:durableId="806555807">
    <w:abstractNumId w:val="5"/>
  </w:num>
  <w:num w:numId="17" w16cid:durableId="1876455234">
    <w:abstractNumId w:val="15"/>
  </w:num>
  <w:num w:numId="18" w16cid:durableId="81626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96"/>
    <w:rsid w:val="00014162"/>
    <w:rsid w:val="00024331"/>
    <w:rsid w:val="00034D2A"/>
    <w:rsid w:val="00055122"/>
    <w:rsid w:val="00060B3E"/>
    <w:rsid w:val="000806DF"/>
    <w:rsid w:val="00080A4F"/>
    <w:rsid w:val="00095B50"/>
    <w:rsid w:val="000A2627"/>
    <w:rsid w:val="000C243A"/>
    <w:rsid w:val="000E2ACD"/>
    <w:rsid w:val="000F0823"/>
    <w:rsid w:val="00157318"/>
    <w:rsid w:val="00161228"/>
    <w:rsid w:val="001666CF"/>
    <w:rsid w:val="00181726"/>
    <w:rsid w:val="0018450E"/>
    <w:rsid w:val="0018647F"/>
    <w:rsid w:val="001948B8"/>
    <w:rsid w:val="001A2813"/>
    <w:rsid w:val="001B1816"/>
    <w:rsid w:val="001B653F"/>
    <w:rsid w:val="001C601F"/>
    <w:rsid w:val="001C6936"/>
    <w:rsid w:val="001D37AD"/>
    <w:rsid w:val="00213A3A"/>
    <w:rsid w:val="0023029B"/>
    <w:rsid w:val="002415FF"/>
    <w:rsid w:val="00276B1E"/>
    <w:rsid w:val="00286B41"/>
    <w:rsid w:val="002B3029"/>
    <w:rsid w:val="002D1517"/>
    <w:rsid w:val="002D1E84"/>
    <w:rsid w:val="002D2508"/>
    <w:rsid w:val="002D6416"/>
    <w:rsid w:val="002D70F2"/>
    <w:rsid w:val="002E4B72"/>
    <w:rsid w:val="002F20A3"/>
    <w:rsid w:val="0035457D"/>
    <w:rsid w:val="00357194"/>
    <w:rsid w:val="00357B11"/>
    <w:rsid w:val="00391B63"/>
    <w:rsid w:val="00392DEB"/>
    <w:rsid w:val="003A06E9"/>
    <w:rsid w:val="003B0A9D"/>
    <w:rsid w:val="003B7767"/>
    <w:rsid w:val="003C1A35"/>
    <w:rsid w:val="003C4F38"/>
    <w:rsid w:val="003D232E"/>
    <w:rsid w:val="003F1878"/>
    <w:rsid w:val="003F417B"/>
    <w:rsid w:val="004230A9"/>
    <w:rsid w:val="00430915"/>
    <w:rsid w:val="004578A3"/>
    <w:rsid w:val="00470C34"/>
    <w:rsid w:val="0047220D"/>
    <w:rsid w:val="004C5E0F"/>
    <w:rsid w:val="004D2840"/>
    <w:rsid w:val="004D3046"/>
    <w:rsid w:val="004D4ECD"/>
    <w:rsid w:val="004F49C5"/>
    <w:rsid w:val="005228A0"/>
    <w:rsid w:val="00542344"/>
    <w:rsid w:val="00567F76"/>
    <w:rsid w:val="005C6145"/>
    <w:rsid w:val="005D129D"/>
    <w:rsid w:val="005D4BA0"/>
    <w:rsid w:val="005E1271"/>
    <w:rsid w:val="005E33A5"/>
    <w:rsid w:val="005E51F2"/>
    <w:rsid w:val="005E6ADF"/>
    <w:rsid w:val="005F0114"/>
    <w:rsid w:val="005F6B32"/>
    <w:rsid w:val="00626B59"/>
    <w:rsid w:val="00680DBB"/>
    <w:rsid w:val="006A684A"/>
    <w:rsid w:val="006B1A2D"/>
    <w:rsid w:val="006D09C9"/>
    <w:rsid w:val="006D1860"/>
    <w:rsid w:val="006D29BF"/>
    <w:rsid w:val="006E320C"/>
    <w:rsid w:val="006F757F"/>
    <w:rsid w:val="00721DEA"/>
    <w:rsid w:val="00734ACB"/>
    <w:rsid w:val="00741A6A"/>
    <w:rsid w:val="00761191"/>
    <w:rsid w:val="0076710F"/>
    <w:rsid w:val="00783281"/>
    <w:rsid w:val="007876AF"/>
    <w:rsid w:val="00794FDA"/>
    <w:rsid w:val="007B0A3D"/>
    <w:rsid w:val="007B3A87"/>
    <w:rsid w:val="007C16F9"/>
    <w:rsid w:val="007E008D"/>
    <w:rsid w:val="007F11DB"/>
    <w:rsid w:val="007F5215"/>
    <w:rsid w:val="00814909"/>
    <w:rsid w:val="00817098"/>
    <w:rsid w:val="00852095"/>
    <w:rsid w:val="0085772B"/>
    <w:rsid w:val="008606BB"/>
    <w:rsid w:val="008658BD"/>
    <w:rsid w:val="008A3979"/>
    <w:rsid w:val="008B109E"/>
    <w:rsid w:val="008C62C4"/>
    <w:rsid w:val="008C6C69"/>
    <w:rsid w:val="008F1396"/>
    <w:rsid w:val="00900F97"/>
    <w:rsid w:val="0090415C"/>
    <w:rsid w:val="00906571"/>
    <w:rsid w:val="009139C6"/>
    <w:rsid w:val="00944D0A"/>
    <w:rsid w:val="0097399A"/>
    <w:rsid w:val="009C6649"/>
    <w:rsid w:val="009E429D"/>
    <w:rsid w:val="00A0454C"/>
    <w:rsid w:val="00A23DEE"/>
    <w:rsid w:val="00A24604"/>
    <w:rsid w:val="00A27D0C"/>
    <w:rsid w:val="00A34505"/>
    <w:rsid w:val="00A47C96"/>
    <w:rsid w:val="00A47F02"/>
    <w:rsid w:val="00A71BB0"/>
    <w:rsid w:val="00A74398"/>
    <w:rsid w:val="00AB048C"/>
    <w:rsid w:val="00AB502D"/>
    <w:rsid w:val="00AC3931"/>
    <w:rsid w:val="00AD1BFD"/>
    <w:rsid w:val="00AD27FE"/>
    <w:rsid w:val="00B164F3"/>
    <w:rsid w:val="00B41BF1"/>
    <w:rsid w:val="00B5360D"/>
    <w:rsid w:val="00B64652"/>
    <w:rsid w:val="00B84AE5"/>
    <w:rsid w:val="00B87E75"/>
    <w:rsid w:val="00B96505"/>
    <w:rsid w:val="00BA21BA"/>
    <w:rsid w:val="00BB4613"/>
    <w:rsid w:val="00BE37B0"/>
    <w:rsid w:val="00BF326F"/>
    <w:rsid w:val="00C011B7"/>
    <w:rsid w:val="00C133DC"/>
    <w:rsid w:val="00C14103"/>
    <w:rsid w:val="00C15CD9"/>
    <w:rsid w:val="00C2175C"/>
    <w:rsid w:val="00C65899"/>
    <w:rsid w:val="00C671FF"/>
    <w:rsid w:val="00C9768C"/>
    <w:rsid w:val="00CA6C9A"/>
    <w:rsid w:val="00CB3865"/>
    <w:rsid w:val="00CB74A3"/>
    <w:rsid w:val="00CE4F12"/>
    <w:rsid w:val="00D14979"/>
    <w:rsid w:val="00D15E53"/>
    <w:rsid w:val="00D16D75"/>
    <w:rsid w:val="00D25346"/>
    <w:rsid w:val="00D31341"/>
    <w:rsid w:val="00D32D10"/>
    <w:rsid w:val="00D3340F"/>
    <w:rsid w:val="00D36149"/>
    <w:rsid w:val="00D47CD0"/>
    <w:rsid w:val="00D52AC2"/>
    <w:rsid w:val="00D60288"/>
    <w:rsid w:val="00D73929"/>
    <w:rsid w:val="00D82708"/>
    <w:rsid w:val="00D90EE3"/>
    <w:rsid w:val="00DC6FCB"/>
    <w:rsid w:val="00DE3267"/>
    <w:rsid w:val="00E05793"/>
    <w:rsid w:val="00E60BC6"/>
    <w:rsid w:val="00E71AE6"/>
    <w:rsid w:val="00E74D54"/>
    <w:rsid w:val="00E80EA9"/>
    <w:rsid w:val="00E81424"/>
    <w:rsid w:val="00EB4FA6"/>
    <w:rsid w:val="00EE38B4"/>
    <w:rsid w:val="00F276B6"/>
    <w:rsid w:val="00F33268"/>
    <w:rsid w:val="00F36F69"/>
    <w:rsid w:val="00F562FF"/>
    <w:rsid w:val="00F67460"/>
    <w:rsid w:val="00F83C2D"/>
    <w:rsid w:val="00FB0805"/>
    <w:rsid w:val="00FB4396"/>
    <w:rsid w:val="00FB67C2"/>
    <w:rsid w:val="00FC1622"/>
    <w:rsid w:val="00F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8B0E85"/>
  <w15:chartTrackingRefBased/>
  <w15:docId w15:val="{A75DED96-910E-425F-B0A5-C1C4899D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36149"/>
    <w:pPr>
      <w:ind w:left="720"/>
      <w:contextualSpacing/>
    </w:pPr>
  </w:style>
  <w:style w:type="character" w:styleId="Komentraatsauce">
    <w:name w:val="annotation reference"/>
    <w:uiPriority w:val="99"/>
    <w:semiHidden/>
    <w:unhideWhenUsed/>
    <w:rsid w:val="00D52A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52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52AC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skatjums">
    <w:name w:val="Revision"/>
    <w:hidden/>
    <w:uiPriority w:val="99"/>
    <w:semiHidden/>
    <w:rsid w:val="00814909"/>
    <w:pPr>
      <w:spacing w:after="0" w:line="240" w:lineRule="auto"/>
    </w:pPr>
  </w:style>
  <w:style w:type="paragraph" w:customStyle="1" w:styleId="tv213">
    <w:name w:val="tv213"/>
    <w:basedOn w:val="Parasts"/>
    <w:rsid w:val="00A0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F0114"/>
    <w:pPr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F011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5E51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E51F2"/>
  </w:style>
  <w:style w:type="paragraph" w:styleId="Kjene">
    <w:name w:val="footer"/>
    <w:basedOn w:val="Parasts"/>
    <w:link w:val="KjeneRakstz"/>
    <w:uiPriority w:val="99"/>
    <w:unhideWhenUsed/>
    <w:rsid w:val="005E51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E51F2"/>
  </w:style>
  <w:style w:type="character" w:customStyle="1" w:styleId="normaltextrun">
    <w:name w:val="normaltextrun"/>
    <w:basedOn w:val="Noklusjumarindkopasfonts"/>
    <w:rsid w:val="00D14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3A7242F-25B7-4D58-A173-28689D78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5171</Words>
  <Characters>2949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 Brūzis</dc:creator>
  <cp:keywords/>
  <dc:description/>
  <cp:lastModifiedBy>Viktorija Belerte</cp:lastModifiedBy>
  <cp:revision>3</cp:revision>
  <cp:lastPrinted>2023-07-12T12:29:00Z</cp:lastPrinted>
  <dcterms:created xsi:type="dcterms:W3CDTF">2023-11-22T07:48:00Z</dcterms:created>
  <dcterms:modified xsi:type="dcterms:W3CDTF">2023-11-22T08:02:00Z</dcterms:modified>
</cp:coreProperties>
</file>